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2E1" w14:textId="77777777" w:rsidR="00231C7D" w:rsidRPr="00C14D35" w:rsidRDefault="00231C7D" w:rsidP="00231C7D">
      <w:pPr>
        <w:spacing w:after="0" w:line="240" w:lineRule="auto"/>
        <w:jc w:val="center"/>
        <w:rPr>
          <w:b/>
          <w:sz w:val="32"/>
          <w:szCs w:val="32"/>
          <w:lang w:val="fr-CH"/>
        </w:rPr>
      </w:pPr>
    </w:p>
    <w:p w14:paraId="7B196F23" w14:textId="77777777" w:rsidR="00231C7D" w:rsidRPr="00C14D35" w:rsidRDefault="00231C7D" w:rsidP="00231C7D">
      <w:pPr>
        <w:spacing w:after="0" w:line="240" w:lineRule="auto"/>
        <w:jc w:val="center"/>
        <w:rPr>
          <w:rFonts w:asciiTheme="majorHAnsi" w:hAnsiTheme="majorHAnsi"/>
          <w:b/>
          <w:sz w:val="36"/>
          <w:szCs w:val="36"/>
          <w:lang w:val="fr-CH"/>
        </w:rPr>
      </w:pPr>
      <w:r w:rsidRPr="00C14D35">
        <w:rPr>
          <w:rFonts w:asciiTheme="majorHAnsi" w:hAnsiTheme="majorHAnsi"/>
          <w:b/>
          <w:sz w:val="36"/>
          <w:lang w:val="fr-CH"/>
        </w:rPr>
        <w:t xml:space="preserve">Informations selon </w:t>
      </w:r>
      <w:proofErr w:type="spellStart"/>
      <w:r w:rsidRPr="00C14D35">
        <w:rPr>
          <w:rFonts w:asciiTheme="majorHAnsi" w:hAnsiTheme="majorHAnsi"/>
          <w:b/>
          <w:sz w:val="36"/>
          <w:lang w:val="fr-CH"/>
        </w:rPr>
        <w:t>LSFin</w:t>
      </w:r>
      <w:proofErr w:type="spellEnd"/>
      <w:r w:rsidRPr="00C14D35">
        <w:rPr>
          <w:rFonts w:asciiTheme="majorHAnsi" w:hAnsiTheme="majorHAnsi"/>
          <w:b/>
          <w:sz w:val="36"/>
          <w:lang w:val="fr-CH"/>
        </w:rPr>
        <w:t xml:space="preserve"> concernant la société Martellus Capital AG et les services financiers qu’elle propose </w:t>
      </w:r>
    </w:p>
    <w:p w14:paraId="19C983E9" w14:textId="77777777" w:rsidR="00231C7D" w:rsidRPr="00C14D35" w:rsidRDefault="00231C7D" w:rsidP="00231C7D">
      <w:pPr>
        <w:spacing w:after="0" w:line="240" w:lineRule="auto"/>
        <w:jc w:val="center"/>
        <w:rPr>
          <w:rFonts w:asciiTheme="majorHAnsi" w:hAnsiTheme="majorHAnsi"/>
          <w:b/>
          <w:sz w:val="36"/>
          <w:szCs w:val="36"/>
          <w:lang w:val="fr-CH"/>
        </w:rPr>
      </w:pPr>
    </w:p>
    <w:p w14:paraId="62D62E3A" w14:textId="77777777" w:rsidR="00231C7D" w:rsidRPr="00C14D35" w:rsidRDefault="00231C7D" w:rsidP="00231C7D">
      <w:pPr>
        <w:spacing w:after="0" w:line="240" w:lineRule="auto"/>
        <w:jc w:val="center"/>
        <w:rPr>
          <w:b/>
          <w:sz w:val="36"/>
          <w:szCs w:val="36"/>
          <w:lang w:val="fr-CH"/>
        </w:rPr>
      </w:pPr>
    </w:p>
    <w:p w14:paraId="4DB843D5" w14:textId="77777777" w:rsidR="00231C7D" w:rsidRPr="00C14D35" w:rsidRDefault="00231C7D" w:rsidP="00231C7D">
      <w:pPr>
        <w:spacing w:after="0" w:line="240" w:lineRule="auto"/>
        <w:jc w:val="center"/>
        <w:rPr>
          <w:b/>
          <w:sz w:val="36"/>
          <w:szCs w:val="36"/>
          <w:lang w:val="fr-CH"/>
        </w:rPr>
      </w:pPr>
    </w:p>
    <w:p w14:paraId="310F1746" w14:textId="77777777" w:rsidR="00231C7D" w:rsidRPr="00C14D35" w:rsidRDefault="00231C7D" w:rsidP="00231C7D">
      <w:pPr>
        <w:spacing w:after="0" w:line="240" w:lineRule="auto"/>
        <w:jc w:val="center"/>
        <w:rPr>
          <w:b/>
          <w:sz w:val="36"/>
          <w:szCs w:val="36"/>
          <w:lang w:val="fr-CH"/>
        </w:rPr>
      </w:pPr>
    </w:p>
    <w:p w14:paraId="2AFCAA8D" w14:textId="6EE9EDA7" w:rsidR="00231C7D" w:rsidRPr="00C14D35" w:rsidRDefault="00231C7D" w:rsidP="00231C7D">
      <w:pPr>
        <w:jc w:val="both"/>
        <w:rPr>
          <w:rFonts w:asciiTheme="majorHAnsi" w:hAnsiTheme="majorHAnsi" w:cs="Arial"/>
          <w:sz w:val="24"/>
          <w:szCs w:val="24"/>
          <w:lang w:val="fr-CH"/>
        </w:rPr>
      </w:pPr>
      <w:bookmarkStart w:id="0" w:name="_Hlk63778580"/>
      <w:r w:rsidRPr="00C14D35">
        <w:rPr>
          <w:rFonts w:asciiTheme="majorHAnsi" w:hAnsiTheme="majorHAnsi"/>
          <w:sz w:val="24"/>
          <w:lang w:val="fr-CH"/>
        </w:rPr>
        <w:t>À travers la présente brochure d’information, nous vous informons, dans le cadre de nos obligations légales, à propos de la société Martellus Capital AG (ci-après «</w:t>
      </w:r>
      <w:r w:rsidR="00C80114" w:rsidRPr="00C14D35">
        <w:rPr>
          <w:smallCaps/>
          <w:lang w:val="fr-CH"/>
        </w:rPr>
        <w:t xml:space="preserve">la </w:t>
      </w:r>
      <w:proofErr w:type="gramStart"/>
      <w:r w:rsidR="00CC29EC" w:rsidRPr="00C14D35">
        <w:rPr>
          <w:rFonts w:asciiTheme="majorHAnsi" w:hAnsiTheme="majorHAnsi"/>
          <w:smallCaps/>
          <w:lang w:val="fr-CH"/>
        </w:rPr>
        <w:t>société</w:t>
      </w:r>
      <w:r w:rsidRPr="00C14D35">
        <w:rPr>
          <w:lang w:val="fr-CH"/>
        </w:rPr>
        <w:t>»</w:t>
      </w:r>
      <w:proofErr w:type="gramEnd"/>
      <w:r w:rsidRPr="00C14D35">
        <w:rPr>
          <w:lang w:val="fr-CH"/>
        </w:rPr>
        <w:t xml:space="preserve"> ou «</w:t>
      </w:r>
      <w:r w:rsidRPr="00C14D35">
        <w:rPr>
          <w:smallCaps/>
          <w:lang w:val="fr-CH"/>
        </w:rPr>
        <w:t>nous</w:t>
      </w:r>
      <w:r w:rsidRPr="00C14D35">
        <w:rPr>
          <w:rFonts w:asciiTheme="majorHAnsi" w:hAnsiTheme="majorHAnsi"/>
          <w:sz w:val="24"/>
          <w:lang w:val="fr-CH"/>
        </w:rPr>
        <w:t>»), des services financiers que nous proposons et des risques qui y sont liés, de notre gestion des conflits d’intérêts, des principes de notre rémunération, des options juridiques de nos clients en cas de conflit ainsi que d’autres aspects importants dans le contexte de notre activité. Les informations de la présente brochure peuvent être amenées à évoluer dans le temps. Vous pouvez vous procurer la version actuelle de cette brochure au format électronique sur notre site Internet ou au format papier à notre adresse commerciale.</w:t>
      </w:r>
    </w:p>
    <w:p w14:paraId="3A27C00F" w14:textId="7DB77599" w:rsidR="00231C7D" w:rsidRPr="00C14D35" w:rsidRDefault="00231C7D" w:rsidP="00231C7D">
      <w:pPr>
        <w:jc w:val="both"/>
        <w:rPr>
          <w:rFonts w:asciiTheme="majorHAnsi" w:hAnsiTheme="majorHAnsi" w:cs="Arial"/>
          <w:sz w:val="24"/>
          <w:szCs w:val="24"/>
          <w:lang w:val="fr-CH"/>
        </w:rPr>
      </w:pPr>
      <w:r w:rsidRPr="00C14D35">
        <w:rPr>
          <w:rFonts w:asciiTheme="majorHAnsi" w:hAnsiTheme="majorHAnsi"/>
          <w:sz w:val="24"/>
          <w:lang w:val="fr-CH"/>
        </w:rPr>
        <w:t>Martellus</w:t>
      </w:r>
      <w:r w:rsidR="00E74E1C" w:rsidRPr="00C14D35">
        <w:rPr>
          <w:rFonts w:asciiTheme="majorHAnsi" w:hAnsiTheme="majorHAnsi"/>
          <w:sz w:val="24"/>
          <w:lang w:val="fr-CH"/>
        </w:rPr>
        <w:t> </w:t>
      </w:r>
      <w:r w:rsidRPr="00C14D35">
        <w:rPr>
          <w:rFonts w:asciiTheme="majorHAnsi" w:hAnsiTheme="majorHAnsi"/>
          <w:sz w:val="24"/>
          <w:lang w:val="fr-CH"/>
        </w:rPr>
        <w:t>Capital</w:t>
      </w:r>
      <w:r w:rsidR="00E74E1C" w:rsidRPr="00C14D35">
        <w:rPr>
          <w:rFonts w:asciiTheme="majorHAnsi" w:hAnsiTheme="majorHAnsi"/>
          <w:sz w:val="24"/>
          <w:lang w:val="fr-CH"/>
        </w:rPr>
        <w:t> </w:t>
      </w:r>
      <w:r w:rsidRPr="00C14D35">
        <w:rPr>
          <w:rFonts w:asciiTheme="majorHAnsi" w:hAnsiTheme="majorHAnsi"/>
          <w:sz w:val="24"/>
          <w:lang w:val="fr-CH"/>
        </w:rPr>
        <w:t>AG remplit avec la présente brochure ses obligations d’information conformément à la loi sur les services financiers (</w:t>
      </w:r>
      <w:proofErr w:type="spellStart"/>
      <w:r w:rsidRPr="00C14D35">
        <w:rPr>
          <w:rFonts w:asciiTheme="majorHAnsi" w:hAnsiTheme="majorHAnsi"/>
          <w:sz w:val="24"/>
          <w:lang w:val="fr-CH"/>
        </w:rPr>
        <w:t>LSFin</w:t>
      </w:r>
      <w:proofErr w:type="spellEnd"/>
      <w:r w:rsidRPr="00C14D35">
        <w:rPr>
          <w:rFonts w:asciiTheme="majorHAnsi" w:hAnsiTheme="majorHAnsi"/>
          <w:sz w:val="24"/>
          <w:lang w:val="fr-CH"/>
        </w:rPr>
        <w:t>). Nous nous tenons volontiers à votre disposition pour vous fournir de plus amples informations dans le cadre d’un entretien personnel.</w:t>
      </w:r>
    </w:p>
    <w:p w14:paraId="21FFDB50" w14:textId="77777777" w:rsidR="00231C7D" w:rsidRPr="00C14D35" w:rsidRDefault="00231C7D" w:rsidP="00231C7D">
      <w:pPr>
        <w:spacing w:after="0" w:line="240" w:lineRule="auto"/>
        <w:jc w:val="both"/>
        <w:rPr>
          <w:rFonts w:asciiTheme="majorHAnsi" w:hAnsiTheme="majorHAnsi"/>
          <w:b/>
          <w:sz w:val="24"/>
          <w:szCs w:val="24"/>
          <w:lang w:val="fr-CH"/>
        </w:rPr>
      </w:pPr>
    </w:p>
    <w:p w14:paraId="6F8D5A0F" w14:textId="77777777" w:rsidR="00231C7D" w:rsidRPr="00C14D35" w:rsidRDefault="00231C7D" w:rsidP="00231C7D">
      <w:pPr>
        <w:spacing w:after="0" w:line="240" w:lineRule="auto"/>
        <w:jc w:val="both"/>
        <w:rPr>
          <w:rFonts w:asciiTheme="majorHAnsi" w:hAnsiTheme="majorHAnsi"/>
          <w:bCs/>
          <w:sz w:val="24"/>
          <w:szCs w:val="24"/>
          <w:lang w:val="fr-CH"/>
        </w:rPr>
      </w:pPr>
      <w:r w:rsidRPr="00C14D35">
        <w:rPr>
          <w:rFonts w:asciiTheme="majorHAnsi" w:hAnsiTheme="majorHAnsi"/>
          <w:sz w:val="24"/>
          <w:lang w:val="fr-CH"/>
        </w:rPr>
        <w:t>MARTELLUS CAPITAL</w:t>
      </w:r>
    </w:p>
    <w:p w14:paraId="1CC4F507" w14:textId="77777777" w:rsidR="00231C7D" w:rsidRPr="00C14D35" w:rsidRDefault="00231C7D" w:rsidP="00231C7D">
      <w:pPr>
        <w:spacing w:after="0" w:line="240" w:lineRule="auto"/>
        <w:jc w:val="both"/>
        <w:rPr>
          <w:rFonts w:asciiTheme="majorHAnsi" w:hAnsiTheme="majorHAnsi"/>
          <w:bCs/>
          <w:sz w:val="20"/>
          <w:szCs w:val="20"/>
          <w:lang w:val="fr-CH"/>
        </w:rPr>
      </w:pPr>
      <w:r w:rsidRPr="00C14D35">
        <w:rPr>
          <w:rFonts w:asciiTheme="majorHAnsi" w:hAnsiTheme="majorHAnsi"/>
          <w:sz w:val="20"/>
          <w:lang w:val="fr-CH"/>
        </w:rPr>
        <w:t>(</w:t>
      </w:r>
      <w:proofErr w:type="gramStart"/>
      <w:r w:rsidRPr="00C14D35">
        <w:rPr>
          <w:rFonts w:asciiTheme="majorHAnsi" w:hAnsiTheme="majorHAnsi"/>
          <w:sz w:val="20"/>
          <w:lang w:val="fr-CH"/>
        </w:rPr>
        <w:t>page</w:t>
      </w:r>
      <w:proofErr w:type="gramEnd"/>
      <w:r w:rsidRPr="00C14D35">
        <w:rPr>
          <w:rFonts w:asciiTheme="majorHAnsi" w:hAnsiTheme="majorHAnsi"/>
          <w:sz w:val="20"/>
          <w:lang w:val="fr-CH"/>
        </w:rPr>
        <w:t xml:space="preserve"> de garde sans signature) </w:t>
      </w:r>
    </w:p>
    <w:p w14:paraId="4AF8BF85" w14:textId="77777777" w:rsidR="00231C7D" w:rsidRPr="00C14D35" w:rsidRDefault="00231C7D" w:rsidP="00231C7D">
      <w:pPr>
        <w:spacing w:after="0" w:line="240" w:lineRule="auto"/>
        <w:jc w:val="both"/>
        <w:rPr>
          <w:rFonts w:asciiTheme="majorHAnsi" w:hAnsiTheme="majorHAnsi"/>
          <w:bCs/>
          <w:sz w:val="24"/>
          <w:szCs w:val="24"/>
          <w:lang w:val="fr-CH"/>
        </w:rPr>
      </w:pPr>
    </w:p>
    <w:bookmarkEnd w:id="0"/>
    <w:p w14:paraId="43D83113" w14:textId="77777777" w:rsidR="00231C7D" w:rsidRPr="00C14D35" w:rsidRDefault="00231C7D" w:rsidP="00231C7D">
      <w:pPr>
        <w:spacing w:after="0" w:line="240" w:lineRule="auto"/>
        <w:jc w:val="both"/>
        <w:rPr>
          <w:rFonts w:asciiTheme="majorHAnsi" w:hAnsiTheme="majorHAnsi"/>
          <w:b/>
          <w:sz w:val="24"/>
          <w:szCs w:val="24"/>
          <w:lang w:val="fr-CH"/>
        </w:rPr>
      </w:pPr>
    </w:p>
    <w:p w14:paraId="57DF84FC" w14:textId="77777777" w:rsidR="00231C7D" w:rsidRPr="00C14D35" w:rsidRDefault="00231C7D" w:rsidP="00231C7D">
      <w:pPr>
        <w:spacing w:after="0" w:line="240" w:lineRule="auto"/>
        <w:jc w:val="both"/>
        <w:rPr>
          <w:rFonts w:asciiTheme="majorHAnsi" w:hAnsiTheme="majorHAnsi"/>
          <w:b/>
          <w:sz w:val="24"/>
          <w:szCs w:val="24"/>
          <w:lang w:val="fr-CH"/>
        </w:rPr>
      </w:pPr>
    </w:p>
    <w:p w14:paraId="34FDA4A5" w14:textId="77777777" w:rsidR="00231C7D" w:rsidRPr="00C14D35" w:rsidRDefault="00231C7D" w:rsidP="00231C7D">
      <w:pPr>
        <w:spacing w:after="0" w:line="240" w:lineRule="auto"/>
        <w:jc w:val="both"/>
        <w:rPr>
          <w:rFonts w:asciiTheme="majorHAnsi" w:hAnsiTheme="majorHAnsi"/>
          <w:b/>
          <w:sz w:val="24"/>
          <w:szCs w:val="24"/>
          <w:lang w:val="fr-CH"/>
        </w:rPr>
      </w:pPr>
    </w:p>
    <w:p w14:paraId="01A21367" w14:textId="77777777" w:rsidR="00231C7D" w:rsidRPr="00C14D35" w:rsidRDefault="00231C7D" w:rsidP="00231C7D">
      <w:pPr>
        <w:spacing w:after="0" w:line="240" w:lineRule="auto"/>
        <w:jc w:val="both"/>
        <w:rPr>
          <w:rFonts w:asciiTheme="majorHAnsi" w:hAnsiTheme="majorHAnsi"/>
          <w:b/>
          <w:sz w:val="24"/>
          <w:szCs w:val="24"/>
          <w:lang w:val="fr-CH"/>
        </w:rPr>
      </w:pPr>
    </w:p>
    <w:p w14:paraId="41CF1881" w14:textId="77777777" w:rsidR="00231C7D" w:rsidRPr="00C14D35" w:rsidRDefault="00231C7D" w:rsidP="00231C7D">
      <w:pPr>
        <w:rPr>
          <w:b/>
          <w:sz w:val="32"/>
          <w:szCs w:val="32"/>
          <w:lang w:val="fr-CH"/>
        </w:rPr>
      </w:pPr>
      <w:r w:rsidRPr="00C14D35">
        <w:rPr>
          <w:lang w:val="fr-CH"/>
        </w:rPr>
        <w:br w:type="page"/>
      </w:r>
    </w:p>
    <w:p w14:paraId="40EBEEA5" w14:textId="77777777" w:rsidR="00231C7D" w:rsidRPr="00C14D35" w:rsidRDefault="00231C7D" w:rsidP="00231C7D">
      <w:pPr>
        <w:pStyle w:val="Inhaltsverzeichnisberschrift"/>
        <w:rPr>
          <w:sz w:val="10"/>
          <w:lang w:val="fr-CH"/>
        </w:rPr>
      </w:pPr>
    </w:p>
    <w:sdt>
      <w:sdtPr>
        <w:rPr>
          <w:rFonts w:asciiTheme="minorHAnsi" w:eastAsiaTheme="minorHAnsi" w:hAnsiTheme="minorHAnsi" w:cstheme="minorBidi"/>
          <w:color w:val="auto"/>
          <w:sz w:val="22"/>
          <w:szCs w:val="22"/>
          <w:lang w:val="fr-CH" w:eastAsia="en-US"/>
        </w:rPr>
        <w:id w:val="799420964"/>
        <w:docPartObj>
          <w:docPartGallery w:val="Table of Contents"/>
          <w:docPartUnique/>
        </w:docPartObj>
      </w:sdtPr>
      <w:sdtEndPr>
        <w:rPr>
          <w:b/>
          <w:bCs/>
        </w:rPr>
      </w:sdtEndPr>
      <w:sdtContent>
        <w:p w14:paraId="362F16D2" w14:textId="77777777" w:rsidR="00231C7D" w:rsidRPr="00C14D35" w:rsidRDefault="00231C7D" w:rsidP="00231C7D">
          <w:pPr>
            <w:pStyle w:val="Inhaltsverzeichnisberschrift"/>
            <w:rPr>
              <w:rFonts w:cstheme="minorHAnsi"/>
              <w:color w:val="auto"/>
              <w:szCs w:val="36"/>
              <w:lang w:val="fr-CH"/>
            </w:rPr>
          </w:pPr>
          <w:r w:rsidRPr="00C14D35">
            <w:rPr>
              <w:color w:val="auto"/>
              <w:lang w:val="fr-CH"/>
            </w:rPr>
            <w:t>Sommaire</w:t>
          </w:r>
        </w:p>
        <w:p w14:paraId="478B38D3" w14:textId="77777777" w:rsidR="00231C7D" w:rsidRPr="00C14D35" w:rsidRDefault="00231C7D" w:rsidP="00231C7D">
          <w:pPr>
            <w:ind w:right="-286"/>
            <w:rPr>
              <w:rFonts w:asciiTheme="majorHAnsi" w:hAnsiTheme="majorHAnsi"/>
              <w:sz w:val="24"/>
              <w:szCs w:val="24"/>
              <w:lang w:val="fr-CH" w:eastAsia="de-CH"/>
            </w:rPr>
          </w:pPr>
        </w:p>
        <w:p w14:paraId="4B7BBD12" w14:textId="4A77D007" w:rsidR="003D4328" w:rsidRDefault="00231C7D">
          <w:pPr>
            <w:pStyle w:val="Verzeichnis1"/>
            <w:tabs>
              <w:tab w:val="left" w:pos="440"/>
              <w:tab w:val="right" w:leader="dot" w:pos="9060"/>
            </w:tabs>
            <w:rPr>
              <w:rFonts w:eastAsiaTheme="minorEastAsia"/>
              <w:noProof/>
              <w:lang w:eastAsia="de-CH"/>
            </w:rPr>
          </w:pPr>
          <w:r w:rsidRPr="00C14D35">
            <w:rPr>
              <w:rFonts w:asciiTheme="majorHAnsi" w:hAnsiTheme="majorHAnsi"/>
              <w:lang w:val="fr-CH"/>
            </w:rPr>
            <w:fldChar w:fldCharType="begin"/>
          </w:r>
          <w:r w:rsidRPr="00C14D35">
            <w:rPr>
              <w:rFonts w:asciiTheme="majorHAnsi" w:hAnsiTheme="majorHAnsi"/>
              <w:lang w:val="fr-CH"/>
            </w:rPr>
            <w:instrText xml:space="preserve"> TOC \o "1-3" \h \z \u </w:instrText>
          </w:r>
          <w:r w:rsidRPr="00C14D35">
            <w:rPr>
              <w:rFonts w:asciiTheme="majorHAnsi" w:hAnsiTheme="majorHAnsi"/>
              <w:lang w:val="fr-CH"/>
            </w:rPr>
            <w:fldChar w:fldCharType="separate"/>
          </w:r>
          <w:hyperlink w:anchor="_Toc75440042" w:history="1">
            <w:r w:rsidR="003D4328" w:rsidRPr="00E203DA">
              <w:rPr>
                <w:rStyle w:val="Hyperlink"/>
                <w:noProof/>
                <w:lang w:val="fr-CH"/>
                <w14:scene3d>
                  <w14:camera w14:prst="orthographicFront"/>
                  <w14:lightRig w14:rig="threePt" w14:dir="t">
                    <w14:rot w14:lat="0" w14:lon="0" w14:rev="0"/>
                  </w14:lightRig>
                </w14:scene3d>
              </w:rPr>
              <w:t>1</w:t>
            </w:r>
            <w:r w:rsidR="003D4328">
              <w:rPr>
                <w:rFonts w:eastAsiaTheme="minorEastAsia"/>
                <w:noProof/>
                <w:lang w:eastAsia="de-CH"/>
              </w:rPr>
              <w:tab/>
            </w:r>
            <w:r w:rsidR="003D4328" w:rsidRPr="00E203DA">
              <w:rPr>
                <w:rStyle w:val="Hyperlink"/>
                <w:noProof/>
                <w:lang w:val="fr-CH"/>
              </w:rPr>
              <w:t>Informations relatives à la société Martellus Capital AG:</w:t>
            </w:r>
            <w:r w:rsidR="003D4328">
              <w:rPr>
                <w:noProof/>
                <w:webHidden/>
              </w:rPr>
              <w:tab/>
            </w:r>
            <w:r w:rsidR="003D4328">
              <w:rPr>
                <w:noProof/>
                <w:webHidden/>
              </w:rPr>
              <w:fldChar w:fldCharType="begin"/>
            </w:r>
            <w:r w:rsidR="003D4328">
              <w:rPr>
                <w:noProof/>
                <w:webHidden/>
              </w:rPr>
              <w:instrText xml:space="preserve"> PAGEREF _Toc75440042 \h </w:instrText>
            </w:r>
            <w:r w:rsidR="003D4328">
              <w:rPr>
                <w:noProof/>
                <w:webHidden/>
              </w:rPr>
            </w:r>
            <w:r w:rsidR="003D4328">
              <w:rPr>
                <w:noProof/>
                <w:webHidden/>
              </w:rPr>
              <w:fldChar w:fldCharType="separate"/>
            </w:r>
            <w:r w:rsidR="006E78A4">
              <w:rPr>
                <w:noProof/>
                <w:webHidden/>
              </w:rPr>
              <w:t>3</w:t>
            </w:r>
            <w:r w:rsidR="003D4328">
              <w:rPr>
                <w:noProof/>
                <w:webHidden/>
              </w:rPr>
              <w:fldChar w:fldCharType="end"/>
            </w:r>
          </w:hyperlink>
        </w:p>
        <w:p w14:paraId="65114C14" w14:textId="1AD1CC14" w:rsidR="003D4328" w:rsidRDefault="006E78A4">
          <w:pPr>
            <w:pStyle w:val="Verzeichnis2"/>
            <w:tabs>
              <w:tab w:val="left" w:pos="880"/>
              <w:tab w:val="right" w:leader="dot" w:pos="9060"/>
            </w:tabs>
            <w:rPr>
              <w:rFonts w:eastAsiaTheme="minorEastAsia"/>
              <w:noProof/>
              <w:lang w:eastAsia="de-CH"/>
            </w:rPr>
          </w:pPr>
          <w:hyperlink w:anchor="_Toc75440043" w:history="1">
            <w:r w:rsidR="003D4328" w:rsidRPr="00E203DA">
              <w:rPr>
                <w:rStyle w:val="Hyperlink"/>
                <w:bCs/>
                <w:noProof/>
                <w:lang w:val="fr-CH"/>
                <w14:scene3d>
                  <w14:camera w14:prst="orthographicFront"/>
                  <w14:lightRig w14:rig="threePt" w14:dir="t">
                    <w14:rot w14:lat="0" w14:lon="0" w14:rev="0"/>
                  </w14:lightRig>
                </w14:scene3d>
              </w:rPr>
              <w:t>1.1</w:t>
            </w:r>
            <w:r w:rsidR="003D4328">
              <w:rPr>
                <w:rFonts w:eastAsiaTheme="minorEastAsia"/>
                <w:noProof/>
                <w:lang w:eastAsia="de-CH"/>
              </w:rPr>
              <w:tab/>
            </w:r>
            <w:r w:rsidR="003D4328" w:rsidRPr="00E203DA">
              <w:rPr>
                <w:rStyle w:val="Hyperlink"/>
                <w:noProof/>
                <w:lang w:val="fr-CH"/>
              </w:rPr>
              <w:t>A propos de la société</w:t>
            </w:r>
            <w:r w:rsidR="003D4328">
              <w:rPr>
                <w:noProof/>
                <w:webHidden/>
              </w:rPr>
              <w:tab/>
            </w:r>
            <w:r w:rsidR="003D4328">
              <w:rPr>
                <w:noProof/>
                <w:webHidden/>
              </w:rPr>
              <w:fldChar w:fldCharType="begin"/>
            </w:r>
            <w:r w:rsidR="003D4328">
              <w:rPr>
                <w:noProof/>
                <w:webHidden/>
              </w:rPr>
              <w:instrText xml:space="preserve"> PAGEREF _Toc75440043 \h </w:instrText>
            </w:r>
            <w:r w:rsidR="003D4328">
              <w:rPr>
                <w:noProof/>
                <w:webHidden/>
              </w:rPr>
            </w:r>
            <w:r w:rsidR="003D4328">
              <w:rPr>
                <w:noProof/>
                <w:webHidden/>
              </w:rPr>
              <w:fldChar w:fldCharType="separate"/>
            </w:r>
            <w:r>
              <w:rPr>
                <w:noProof/>
                <w:webHidden/>
              </w:rPr>
              <w:t>3</w:t>
            </w:r>
            <w:r w:rsidR="003D4328">
              <w:rPr>
                <w:noProof/>
                <w:webHidden/>
              </w:rPr>
              <w:fldChar w:fldCharType="end"/>
            </w:r>
          </w:hyperlink>
        </w:p>
        <w:p w14:paraId="63A094B9" w14:textId="6E35F74F" w:rsidR="003D4328" w:rsidRDefault="006E78A4">
          <w:pPr>
            <w:pStyle w:val="Verzeichnis2"/>
            <w:tabs>
              <w:tab w:val="left" w:pos="880"/>
              <w:tab w:val="right" w:leader="dot" w:pos="9060"/>
            </w:tabs>
            <w:rPr>
              <w:rFonts w:eastAsiaTheme="minorEastAsia"/>
              <w:noProof/>
              <w:lang w:eastAsia="de-CH"/>
            </w:rPr>
          </w:pPr>
          <w:hyperlink w:anchor="_Toc75440044" w:history="1">
            <w:r w:rsidR="003D4328" w:rsidRPr="00E203DA">
              <w:rPr>
                <w:rStyle w:val="Hyperlink"/>
                <w:bCs/>
                <w:noProof/>
                <w:lang w:val="fr-CH"/>
                <w14:scene3d>
                  <w14:camera w14:prst="orthographicFront"/>
                  <w14:lightRig w14:rig="threePt" w14:dir="t">
                    <w14:rot w14:lat="0" w14:lon="0" w14:rev="0"/>
                  </w14:lightRig>
                </w14:scene3d>
              </w:rPr>
              <w:t>1.2</w:t>
            </w:r>
            <w:r w:rsidR="003D4328">
              <w:rPr>
                <w:rFonts w:eastAsiaTheme="minorEastAsia"/>
                <w:noProof/>
                <w:lang w:eastAsia="de-CH"/>
              </w:rPr>
              <w:tab/>
            </w:r>
            <w:r w:rsidR="003D4328" w:rsidRPr="00E203DA">
              <w:rPr>
                <w:rStyle w:val="Hyperlink"/>
                <w:noProof/>
                <w:lang w:val="fr-CH"/>
              </w:rPr>
              <w:t>Notre offre de services</w:t>
            </w:r>
            <w:r w:rsidR="003D4328">
              <w:rPr>
                <w:noProof/>
                <w:webHidden/>
              </w:rPr>
              <w:tab/>
            </w:r>
            <w:r w:rsidR="003D4328">
              <w:rPr>
                <w:noProof/>
                <w:webHidden/>
              </w:rPr>
              <w:fldChar w:fldCharType="begin"/>
            </w:r>
            <w:r w:rsidR="003D4328">
              <w:rPr>
                <w:noProof/>
                <w:webHidden/>
              </w:rPr>
              <w:instrText xml:space="preserve"> PAGEREF _Toc75440044 \h </w:instrText>
            </w:r>
            <w:r w:rsidR="003D4328">
              <w:rPr>
                <w:noProof/>
                <w:webHidden/>
              </w:rPr>
            </w:r>
            <w:r w:rsidR="003D4328">
              <w:rPr>
                <w:noProof/>
                <w:webHidden/>
              </w:rPr>
              <w:fldChar w:fldCharType="separate"/>
            </w:r>
            <w:r>
              <w:rPr>
                <w:noProof/>
                <w:webHidden/>
              </w:rPr>
              <w:t>3</w:t>
            </w:r>
            <w:r w:rsidR="003D4328">
              <w:rPr>
                <w:noProof/>
                <w:webHidden/>
              </w:rPr>
              <w:fldChar w:fldCharType="end"/>
            </w:r>
          </w:hyperlink>
        </w:p>
        <w:p w14:paraId="227667E8" w14:textId="497FB603" w:rsidR="003D4328" w:rsidRDefault="006E78A4">
          <w:pPr>
            <w:pStyle w:val="Verzeichnis2"/>
            <w:tabs>
              <w:tab w:val="left" w:pos="880"/>
              <w:tab w:val="right" w:leader="dot" w:pos="9060"/>
            </w:tabs>
            <w:rPr>
              <w:rFonts w:eastAsiaTheme="minorEastAsia"/>
              <w:noProof/>
              <w:lang w:eastAsia="de-CH"/>
            </w:rPr>
          </w:pPr>
          <w:hyperlink w:anchor="_Toc75440045" w:history="1">
            <w:r w:rsidR="003D4328" w:rsidRPr="00E203DA">
              <w:rPr>
                <w:rStyle w:val="Hyperlink"/>
                <w:bCs/>
                <w:noProof/>
                <w:lang w:val="fr-CH"/>
                <w14:scene3d>
                  <w14:camera w14:prst="orthographicFront"/>
                  <w14:lightRig w14:rig="threePt" w14:dir="t">
                    <w14:rot w14:lat="0" w14:lon="0" w14:rev="0"/>
                  </w14:lightRig>
                </w14:scene3d>
              </w:rPr>
              <w:t>1.3</w:t>
            </w:r>
            <w:r w:rsidR="003D4328">
              <w:rPr>
                <w:rFonts w:eastAsiaTheme="minorEastAsia"/>
                <w:noProof/>
                <w:lang w:eastAsia="de-CH"/>
              </w:rPr>
              <w:tab/>
            </w:r>
            <w:r w:rsidR="003D4328" w:rsidRPr="00E203DA">
              <w:rPr>
                <w:rStyle w:val="Hyperlink"/>
                <w:noProof/>
                <w:lang w:val="fr-CH"/>
              </w:rPr>
              <w:t>Régime de surveillance</w:t>
            </w:r>
            <w:r w:rsidR="003D4328">
              <w:rPr>
                <w:noProof/>
                <w:webHidden/>
              </w:rPr>
              <w:tab/>
            </w:r>
            <w:r w:rsidR="003D4328">
              <w:rPr>
                <w:noProof/>
                <w:webHidden/>
              </w:rPr>
              <w:fldChar w:fldCharType="begin"/>
            </w:r>
            <w:r w:rsidR="003D4328">
              <w:rPr>
                <w:noProof/>
                <w:webHidden/>
              </w:rPr>
              <w:instrText xml:space="preserve"> PAGEREF _Toc75440045 \h </w:instrText>
            </w:r>
            <w:r w:rsidR="003D4328">
              <w:rPr>
                <w:noProof/>
                <w:webHidden/>
              </w:rPr>
            </w:r>
            <w:r w:rsidR="003D4328">
              <w:rPr>
                <w:noProof/>
                <w:webHidden/>
              </w:rPr>
              <w:fldChar w:fldCharType="separate"/>
            </w:r>
            <w:r>
              <w:rPr>
                <w:noProof/>
                <w:webHidden/>
              </w:rPr>
              <w:t>3</w:t>
            </w:r>
            <w:r w:rsidR="003D4328">
              <w:rPr>
                <w:noProof/>
                <w:webHidden/>
              </w:rPr>
              <w:fldChar w:fldCharType="end"/>
            </w:r>
          </w:hyperlink>
        </w:p>
        <w:p w14:paraId="337CFBEF" w14:textId="323B8F43" w:rsidR="003D4328" w:rsidRDefault="006E78A4">
          <w:pPr>
            <w:pStyle w:val="Verzeichnis1"/>
            <w:tabs>
              <w:tab w:val="left" w:pos="440"/>
              <w:tab w:val="right" w:leader="dot" w:pos="9060"/>
            </w:tabs>
            <w:rPr>
              <w:rFonts w:eastAsiaTheme="minorEastAsia"/>
              <w:noProof/>
              <w:lang w:eastAsia="de-CH"/>
            </w:rPr>
          </w:pPr>
          <w:hyperlink w:anchor="_Toc75440046" w:history="1">
            <w:r w:rsidR="003D4328" w:rsidRPr="00E203DA">
              <w:rPr>
                <w:rStyle w:val="Hyperlink"/>
                <w:noProof/>
                <w:lang w:val="fr-CH"/>
                <w14:scene3d>
                  <w14:camera w14:prst="orthographicFront"/>
                  <w14:lightRig w14:rig="threePt" w14:dir="t">
                    <w14:rot w14:lat="0" w14:lon="0" w14:rev="0"/>
                  </w14:lightRig>
                </w14:scene3d>
              </w:rPr>
              <w:t>2</w:t>
            </w:r>
            <w:r w:rsidR="003D4328">
              <w:rPr>
                <w:rFonts w:eastAsiaTheme="minorEastAsia"/>
                <w:noProof/>
                <w:lang w:eastAsia="de-CH"/>
              </w:rPr>
              <w:tab/>
            </w:r>
            <w:r w:rsidR="003D4328" w:rsidRPr="00E203DA">
              <w:rPr>
                <w:rStyle w:val="Hyperlink"/>
                <w:noProof/>
                <w:lang w:val="fr-CH"/>
              </w:rPr>
              <w:t>Principes de la prestation de services</w:t>
            </w:r>
            <w:r w:rsidR="003D4328">
              <w:rPr>
                <w:noProof/>
                <w:webHidden/>
              </w:rPr>
              <w:tab/>
            </w:r>
            <w:r w:rsidR="003D4328">
              <w:rPr>
                <w:noProof/>
                <w:webHidden/>
              </w:rPr>
              <w:fldChar w:fldCharType="begin"/>
            </w:r>
            <w:r w:rsidR="003D4328">
              <w:rPr>
                <w:noProof/>
                <w:webHidden/>
              </w:rPr>
              <w:instrText xml:space="preserve"> PAGEREF _Toc75440046 \h </w:instrText>
            </w:r>
            <w:r w:rsidR="003D4328">
              <w:rPr>
                <w:noProof/>
                <w:webHidden/>
              </w:rPr>
            </w:r>
            <w:r w:rsidR="003D4328">
              <w:rPr>
                <w:noProof/>
                <w:webHidden/>
              </w:rPr>
              <w:fldChar w:fldCharType="separate"/>
            </w:r>
            <w:r>
              <w:rPr>
                <w:noProof/>
                <w:webHidden/>
              </w:rPr>
              <w:t>4</w:t>
            </w:r>
            <w:r w:rsidR="003D4328">
              <w:rPr>
                <w:noProof/>
                <w:webHidden/>
              </w:rPr>
              <w:fldChar w:fldCharType="end"/>
            </w:r>
          </w:hyperlink>
        </w:p>
        <w:p w14:paraId="5CD9D2B2" w14:textId="70794990" w:rsidR="003D4328" w:rsidRDefault="006E78A4">
          <w:pPr>
            <w:pStyle w:val="Verzeichnis2"/>
            <w:tabs>
              <w:tab w:val="left" w:pos="880"/>
              <w:tab w:val="right" w:leader="dot" w:pos="9060"/>
            </w:tabs>
            <w:rPr>
              <w:rFonts w:eastAsiaTheme="minorEastAsia"/>
              <w:noProof/>
              <w:lang w:eastAsia="de-CH"/>
            </w:rPr>
          </w:pPr>
          <w:hyperlink w:anchor="_Toc75440047" w:history="1">
            <w:r w:rsidR="003D4328" w:rsidRPr="00E203DA">
              <w:rPr>
                <w:rStyle w:val="Hyperlink"/>
                <w:bCs/>
                <w:noProof/>
                <w:lang w:val="fr-CH"/>
                <w14:scene3d>
                  <w14:camera w14:prst="orthographicFront"/>
                  <w14:lightRig w14:rig="threePt" w14:dir="t">
                    <w14:rot w14:lat="0" w14:lon="0" w14:rev="0"/>
                  </w14:lightRig>
                </w14:scene3d>
              </w:rPr>
              <w:t>2.1</w:t>
            </w:r>
            <w:r w:rsidR="003D4328">
              <w:rPr>
                <w:rFonts w:eastAsiaTheme="minorEastAsia"/>
                <w:noProof/>
                <w:lang w:eastAsia="de-CH"/>
              </w:rPr>
              <w:tab/>
            </w:r>
            <w:r w:rsidR="003D4328" w:rsidRPr="00E203DA">
              <w:rPr>
                <w:rStyle w:val="Hyperlink"/>
                <w:noProof/>
                <w:lang w:val="fr-CH"/>
              </w:rPr>
              <w:t>Pas de liens de distribution avec des tiers</w:t>
            </w:r>
            <w:r w:rsidR="003D4328">
              <w:rPr>
                <w:noProof/>
                <w:webHidden/>
              </w:rPr>
              <w:tab/>
            </w:r>
            <w:r w:rsidR="003D4328">
              <w:rPr>
                <w:noProof/>
                <w:webHidden/>
              </w:rPr>
              <w:fldChar w:fldCharType="begin"/>
            </w:r>
            <w:r w:rsidR="003D4328">
              <w:rPr>
                <w:noProof/>
                <w:webHidden/>
              </w:rPr>
              <w:instrText xml:space="preserve"> PAGEREF _Toc75440047 \h </w:instrText>
            </w:r>
            <w:r w:rsidR="003D4328">
              <w:rPr>
                <w:noProof/>
                <w:webHidden/>
              </w:rPr>
            </w:r>
            <w:r w:rsidR="003D4328">
              <w:rPr>
                <w:noProof/>
                <w:webHidden/>
              </w:rPr>
              <w:fldChar w:fldCharType="separate"/>
            </w:r>
            <w:r>
              <w:rPr>
                <w:noProof/>
                <w:webHidden/>
              </w:rPr>
              <w:t>4</w:t>
            </w:r>
            <w:r w:rsidR="003D4328">
              <w:rPr>
                <w:noProof/>
                <w:webHidden/>
              </w:rPr>
              <w:fldChar w:fldCharType="end"/>
            </w:r>
          </w:hyperlink>
        </w:p>
        <w:p w14:paraId="2B74CC75" w14:textId="6A37C9BB" w:rsidR="003D4328" w:rsidRDefault="006E78A4">
          <w:pPr>
            <w:pStyle w:val="Verzeichnis2"/>
            <w:tabs>
              <w:tab w:val="left" w:pos="880"/>
              <w:tab w:val="right" w:leader="dot" w:pos="9060"/>
            </w:tabs>
            <w:rPr>
              <w:rFonts w:eastAsiaTheme="minorEastAsia"/>
              <w:noProof/>
              <w:lang w:eastAsia="de-CH"/>
            </w:rPr>
          </w:pPr>
          <w:hyperlink w:anchor="_Toc75440048" w:history="1">
            <w:r w:rsidR="003D4328" w:rsidRPr="00E203DA">
              <w:rPr>
                <w:rStyle w:val="Hyperlink"/>
                <w:bCs/>
                <w:noProof/>
                <w:lang w:val="fr-CH"/>
                <w14:scene3d>
                  <w14:camera w14:prst="orthographicFront"/>
                  <w14:lightRig w14:rig="threePt" w14:dir="t">
                    <w14:rot w14:lat="0" w14:lon="0" w14:rev="0"/>
                  </w14:lightRig>
                </w14:scene3d>
              </w:rPr>
              <w:t>2.2</w:t>
            </w:r>
            <w:r w:rsidR="003D4328">
              <w:rPr>
                <w:rFonts w:eastAsiaTheme="minorEastAsia"/>
                <w:noProof/>
                <w:lang w:eastAsia="de-CH"/>
              </w:rPr>
              <w:tab/>
            </w:r>
            <w:r w:rsidR="003D4328" w:rsidRPr="00E203DA">
              <w:rPr>
                <w:rStyle w:val="Hyperlink"/>
                <w:noProof/>
                <w:lang w:val="fr-CH"/>
              </w:rPr>
              <w:t>Stratégies de placement et univers de placement utilisé</w:t>
            </w:r>
            <w:r w:rsidR="003D4328">
              <w:rPr>
                <w:noProof/>
                <w:webHidden/>
              </w:rPr>
              <w:tab/>
            </w:r>
            <w:r w:rsidR="003D4328">
              <w:rPr>
                <w:noProof/>
                <w:webHidden/>
              </w:rPr>
              <w:fldChar w:fldCharType="begin"/>
            </w:r>
            <w:r w:rsidR="003D4328">
              <w:rPr>
                <w:noProof/>
                <w:webHidden/>
              </w:rPr>
              <w:instrText xml:space="preserve"> PAGEREF _Toc75440048 \h </w:instrText>
            </w:r>
            <w:r w:rsidR="003D4328">
              <w:rPr>
                <w:noProof/>
                <w:webHidden/>
              </w:rPr>
            </w:r>
            <w:r w:rsidR="003D4328">
              <w:rPr>
                <w:noProof/>
                <w:webHidden/>
              </w:rPr>
              <w:fldChar w:fldCharType="separate"/>
            </w:r>
            <w:r>
              <w:rPr>
                <w:noProof/>
                <w:webHidden/>
              </w:rPr>
              <w:t>4</w:t>
            </w:r>
            <w:r w:rsidR="003D4328">
              <w:rPr>
                <w:noProof/>
                <w:webHidden/>
              </w:rPr>
              <w:fldChar w:fldCharType="end"/>
            </w:r>
          </w:hyperlink>
        </w:p>
        <w:p w14:paraId="3AD47D85" w14:textId="1740C6BE" w:rsidR="003D4328" w:rsidRDefault="006E78A4">
          <w:pPr>
            <w:pStyle w:val="Verzeichnis2"/>
            <w:tabs>
              <w:tab w:val="left" w:pos="880"/>
              <w:tab w:val="right" w:leader="dot" w:pos="9060"/>
            </w:tabs>
            <w:rPr>
              <w:rFonts w:eastAsiaTheme="minorEastAsia"/>
              <w:noProof/>
              <w:lang w:eastAsia="de-CH"/>
            </w:rPr>
          </w:pPr>
          <w:hyperlink w:anchor="_Toc75440049" w:history="1">
            <w:r w:rsidR="003D4328" w:rsidRPr="00E203DA">
              <w:rPr>
                <w:rStyle w:val="Hyperlink"/>
                <w:bCs/>
                <w:noProof/>
                <w:lang w:val="fr-CH"/>
                <w14:scene3d>
                  <w14:camera w14:prst="orthographicFront"/>
                  <w14:lightRig w14:rig="threePt" w14:dir="t">
                    <w14:rot w14:lat="0" w14:lon="0" w14:rev="0"/>
                  </w14:lightRig>
                </w14:scene3d>
              </w:rPr>
              <w:t>2.3</w:t>
            </w:r>
            <w:r w:rsidR="003D4328">
              <w:rPr>
                <w:rFonts w:eastAsiaTheme="minorEastAsia"/>
                <w:noProof/>
                <w:lang w:eastAsia="de-CH"/>
              </w:rPr>
              <w:tab/>
            </w:r>
            <w:r w:rsidR="003D4328" w:rsidRPr="00E203DA">
              <w:rPr>
                <w:rStyle w:val="Hyperlink"/>
                <w:noProof/>
                <w:lang w:val="fr-CH"/>
              </w:rPr>
              <w:t>Informations concernant la nature et l’ampleur de la sensibilisation aux risques</w:t>
            </w:r>
            <w:r w:rsidR="003D4328">
              <w:rPr>
                <w:noProof/>
                <w:webHidden/>
              </w:rPr>
              <w:tab/>
            </w:r>
            <w:r w:rsidR="003D4328">
              <w:rPr>
                <w:noProof/>
                <w:webHidden/>
              </w:rPr>
              <w:fldChar w:fldCharType="begin"/>
            </w:r>
            <w:r w:rsidR="003D4328">
              <w:rPr>
                <w:noProof/>
                <w:webHidden/>
              </w:rPr>
              <w:instrText xml:space="preserve"> PAGEREF _Toc75440049 \h </w:instrText>
            </w:r>
            <w:r w:rsidR="003D4328">
              <w:rPr>
                <w:noProof/>
                <w:webHidden/>
              </w:rPr>
            </w:r>
            <w:r w:rsidR="003D4328">
              <w:rPr>
                <w:noProof/>
                <w:webHidden/>
              </w:rPr>
              <w:fldChar w:fldCharType="separate"/>
            </w:r>
            <w:r>
              <w:rPr>
                <w:noProof/>
                <w:webHidden/>
              </w:rPr>
              <w:t>5</w:t>
            </w:r>
            <w:r w:rsidR="003D4328">
              <w:rPr>
                <w:noProof/>
                <w:webHidden/>
              </w:rPr>
              <w:fldChar w:fldCharType="end"/>
            </w:r>
          </w:hyperlink>
        </w:p>
        <w:p w14:paraId="04E02911" w14:textId="6378743D" w:rsidR="003D4328" w:rsidRDefault="006E78A4">
          <w:pPr>
            <w:pStyle w:val="Verzeichnis2"/>
            <w:tabs>
              <w:tab w:val="left" w:pos="880"/>
              <w:tab w:val="right" w:leader="dot" w:pos="9060"/>
            </w:tabs>
            <w:rPr>
              <w:rFonts w:eastAsiaTheme="minorEastAsia"/>
              <w:noProof/>
              <w:lang w:eastAsia="de-CH"/>
            </w:rPr>
          </w:pPr>
          <w:hyperlink w:anchor="_Toc75440050" w:history="1">
            <w:r w:rsidR="003D4328" w:rsidRPr="00E203DA">
              <w:rPr>
                <w:rStyle w:val="Hyperlink"/>
                <w:bCs/>
                <w:noProof/>
                <w:lang w:val="fr-CH"/>
                <w14:scene3d>
                  <w14:camera w14:prst="orthographicFront"/>
                  <w14:lightRig w14:rig="threePt" w14:dir="t">
                    <w14:rot w14:lat="0" w14:lon="0" w14:rev="0"/>
                  </w14:lightRig>
                </w14:scene3d>
              </w:rPr>
              <w:t>2.4</w:t>
            </w:r>
            <w:r w:rsidR="003D4328">
              <w:rPr>
                <w:rFonts w:eastAsiaTheme="minorEastAsia"/>
                <w:noProof/>
                <w:lang w:eastAsia="de-CH"/>
              </w:rPr>
              <w:tab/>
            </w:r>
            <w:r w:rsidR="003D4328" w:rsidRPr="00E203DA">
              <w:rPr>
                <w:rStyle w:val="Hyperlink"/>
                <w:noProof/>
                <w:lang w:val="fr-CH"/>
              </w:rPr>
              <w:t>Honoraires et rémunération de la société</w:t>
            </w:r>
            <w:r w:rsidR="003D4328">
              <w:rPr>
                <w:noProof/>
                <w:webHidden/>
              </w:rPr>
              <w:tab/>
            </w:r>
            <w:r w:rsidR="003D4328">
              <w:rPr>
                <w:noProof/>
                <w:webHidden/>
              </w:rPr>
              <w:fldChar w:fldCharType="begin"/>
            </w:r>
            <w:r w:rsidR="003D4328">
              <w:rPr>
                <w:noProof/>
                <w:webHidden/>
              </w:rPr>
              <w:instrText xml:space="preserve"> PAGEREF _Toc75440050 \h </w:instrText>
            </w:r>
            <w:r w:rsidR="003D4328">
              <w:rPr>
                <w:noProof/>
                <w:webHidden/>
              </w:rPr>
            </w:r>
            <w:r w:rsidR="003D4328">
              <w:rPr>
                <w:noProof/>
                <w:webHidden/>
              </w:rPr>
              <w:fldChar w:fldCharType="separate"/>
            </w:r>
            <w:r>
              <w:rPr>
                <w:noProof/>
                <w:webHidden/>
              </w:rPr>
              <w:t>5</w:t>
            </w:r>
            <w:r w:rsidR="003D4328">
              <w:rPr>
                <w:noProof/>
                <w:webHidden/>
              </w:rPr>
              <w:fldChar w:fldCharType="end"/>
            </w:r>
          </w:hyperlink>
        </w:p>
        <w:p w14:paraId="26942B2C" w14:textId="4D05BCDB" w:rsidR="003D4328" w:rsidRDefault="006E78A4">
          <w:pPr>
            <w:pStyle w:val="Verzeichnis2"/>
            <w:tabs>
              <w:tab w:val="left" w:pos="880"/>
              <w:tab w:val="right" w:leader="dot" w:pos="9060"/>
            </w:tabs>
            <w:rPr>
              <w:rFonts w:eastAsiaTheme="minorEastAsia"/>
              <w:noProof/>
              <w:lang w:eastAsia="de-CH"/>
            </w:rPr>
          </w:pPr>
          <w:hyperlink w:anchor="_Toc75440051" w:history="1">
            <w:r w:rsidR="003D4328" w:rsidRPr="00E203DA">
              <w:rPr>
                <w:rStyle w:val="Hyperlink"/>
                <w:bCs/>
                <w:noProof/>
                <w:lang w:val="fr-CH"/>
                <w14:scene3d>
                  <w14:camera w14:prst="orthographicFront"/>
                  <w14:lightRig w14:rig="threePt" w14:dir="t">
                    <w14:rot w14:lat="0" w14:lon="0" w14:rev="0"/>
                  </w14:lightRig>
                </w14:scene3d>
              </w:rPr>
              <w:t>2.5</w:t>
            </w:r>
            <w:r w:rsidR="003D4328">
              <w:rPr>
                <w:rFonts w:eastAsiaTheme="minorEastAsia"/>
                <w:noProof/>
                <w:lang w:eastAsia="de-CH"/>
              </w:rPr>
              <w:tab/>
            </w:r>
            <w:r w:rsidR="003D4328" w:rsidRPr="00E203DA">
              <w:rPr>
                <w:rStyle w:val="Hyperlink"/>
                <w:noProof/>
                <w:lang w:val="fr-CH"/>
              </w:rPr>
              <w:t>Exécution optimale des ordres des clients</w:t>
            </w:r>
            <w:r w:rsidR="003D4328">
              <w:rPr>
                <w:noProof/>
                <w:webHidden/>
              </w:rPr>
              <w:tab/>
            </w:r>
            <w:r w:rsidR="003D4328">
              <w:rPr>
                <w:noProof/>
                <w:webHidden/>
              </w:rPr>
              <w:fldChar w:fldCharType="begin"/>
            </w:r>
            <w:r w:rsidR="003D4328">
              <w:rPr>
                <w:noProof/>
                <w:webHidden/>
              </w:rPr>
              <w:instrText xml:space="preserve"> PAGEREF _Toc75440051 \h </w:instrText>
            </w:r>
            <w:r w:rsidR="003D4328">
              <w:rPr>
                <w:noProof/>
                <w:webHidden/>
              </w:rPr>
            </w:r>
            <w:r w:rsidR="003D4328">
              <w:rPr>
                <w:noProof/>
                <w:webHidden/>
              </w:rPr>
              <w:fldChar w:fldCharType="separate"/>
            </w:r>
            <w:r>
              <w:rPr>
                <w:noProof/>
                <w:webHidden/>
              </w:rPr>
              <w:t>7</w:t>
            </w:r>
            <w:r w:rsidR="003D4328">
              <w:rPr>
                <w:noProof/>
                <w:webHidden/>
              </w:rPr>
              <w:fldChar w:fldCharType="end"/>
            </w:r>
          </w:hyperlink>
        </w:p>
        <w:p w14:paraId="1D490117" w14:textId="3BF74F01" w:rsidR="003D4328" w:rsidRDefault="006E78A4">
          <w:pPr>
            <w:pStyle w:val="Verzeichnis2"/>
            <w:tabs>
              <w:tab w:val="left" w:pos="880"/>
              <w:tab w:val="right" w:leader="dot" w:pos="9060"/>
            </w:tabs>
            <w:rPr>
              <w:rFonts w:eastAsiaTheme="minorEastAsia"/>
              <w:noProof/>
              <w:lang w:eastAsia="de-CH"/>
            </w:rPr>
          </w:pPr>
          <w:hyperlink w:anchor="_Toc75440052" w:history="1">
            <w:r w:rsidR="003D4328" w:rsidRPr="00E203DA">
              <w:rPr>
                <w:rStyle w:val="Hyperlink"/>
                <w:bCs/>
                <w:noProof/>
                <w:lang w:val="fr-CH"/>
                <w14:scene3d>
                  <w14:camera w14:prst="orthographicFront"/>
                  <w14:lightRig w14:rig="threePt" w14:dir="t">
                    <w14:rot w14:lat="0" w14:lon="0" w14:rev="0"/>
                  </w14:lightRig>
                </w14:scene3d>
              </w:rPr>
              <w:t>2.6</w:t>
            </w:r>
            <w:r w:rsidR="003D4328">
              <w:rPr>
                <w:rFonts w:eastAsiaTheme="minorEastAsia"/>
                <w:noProof/>
                <w:lang w:eastAsia="de-CH"/>
              </w:rPr>
              <w:tab/>
            </w:r>
            <w:r w:rsidR="003D4328" w:rsidRPr="00E203DA">
              <w:rPr>
                <w:rStyle w:val="Hyperlink"/>
                <w:noProof/>
                <w:lang w:val="fr-CH"/>
              </w:rPr>
              <w:t>Exercice de droits de vote</w:t>
            </w:r>
            <w:r w:rsidR="003D4328">
              <w:rPr>
                <w:noProof/>
                <w:webHidden/>
              </w:rPr>
              <w:tab/>
            </w:r>
            <w:r w:rsidR="003D4328">
              <w:rPr>
                <w:noProof/>
                <w:webHidden/>
              </w:rPr>
              <w:fldChar w:fldCharType="begin"/>
            </w:r>
            <w:r w:rsidR="003D4328">
              <w:rPr>
                <w:noProof/>
                <w:webHidden/>
              </w:rPr>
              <w:instrText xml:space="preserve"> PAGEREF _Toc75440052 \h </w:instrText>
            </w:r>
            <w:r w:rsidR="003D4328">
              <w:rPr>
                <w:noProof/>
                <w:webHidden/>
              </w:rPr>
            </w:r>
            <w:r w:rsidR="003D4328">
              <w:rPr>
                <w:noProof/>
                <w:webHidden/>
              </w:rPr>
              <w:fldChar w:fldCharType="separate"/>
            </w:r>
            <w:r>
              <w:rPr>
                <w:noProof/>
                <w:webHidden/>
              </w:rPr>
              <w:t>7</w:t>
            </w:r>
            <w:r w:rsidR="003D4328">
              <w:rPr>
                <w:noProof/>
                <w:webHidden/>
              </w:rPr>
              <w:fldChar w:fldCharType="end"/>
            </w:r>
          </w:hyperlink>
        </w:p>
        <w:p w14:paraId="14BB9B7C" w14:textId="74E3CAE0" w:rsidR="003D4328" w:rsidRDefault="006E78A4">
          <w:pPr>
            <w:pStyle w:val="Verzeichnis2"/>
            <w:tabs>
              <w:tab w:val="left" w:pos="880"/>
              <w:tab w:val="right" w:leader="dot" w:pos="9060"/>
            </w:tabs>
            <w:rPr>
              <w:rFonts w:eastAsiaTheme="minorEastAsia"/>
              <w:noProof/>
              <w:lang w:eastAsia="de-CH"/>
            </w:rPr>
          </w:pPr>
          <w:hyperlink w:anchor="_Toc75440053" w:history="1">
            <w:r w:rsidR="003D4328" w:rsidRPr="00E203DA">
              <w:rPr>
                <w:rStyle w:val="Hyperlink"/>
                <w:bCs/>
                <w:noProof/>
                <w:lang w:val="fr-CH"/>
                <w14:scene3d>
                  <w14:camera w14:prst="orthographicFront"/>
                  <w14:lightRig w14:rig="threePt" w14:dir="t">
                    <w14:rot w14:lat="0" w14:lon="0" w14:rev="0"/>
                  </w14:lightRig>
                </w14:scene3d>
              </w:rPr>
              <w:t>2.7</w:t>
            </w:r>
            <w:r w:rsidR="003D4328">
              <w:rPr>
                <w:rFonts w:eastAsiaTheme="minorEastAsia"/>
                <w:noProof/>
                <w:lang w:eastAsia="de-CH"/>
              </w:rPr>
              <w:tab/>
            </w:r>
            <w:r w:rsidR="003D4328" w:rsidRPr="00E203DA">
              <w:rPr>
                <w:rStyle w:val="Hyperlink"/>
                <w:noProof/>
                <w:lang w:val="fr-CH"/>
              </w:rPr>
              <w:t>Eventuelle obligation de déclarer en cas d’acquisition de participations</w:t>
            </w:r>
            <w:r w:rsidR="003D4328">
              <w:rPr>
                <w:noProof/>
                <w:webHidden/>
              </w:rPr>
              <w:tab/>
            </w:r>
            <w:r w:rsidR="003D4328">
              <w:rPr>
                <w:noProof/>
                <w:webHidden/>
              </w:rPr>
              <w:fldChar w:fldCharType="begin"/>
            </w:r>
            <w:r w:rsidR="003D4328">
              <w:rPr>
                <w:noProof/>
                <w:webHidden/>
              </w:rPr>
              <w:instrText xml:space="preserve"> PAGEREF _Toc75440053 \h </w:instrText>
            </w:r>
            <w:r w:rsidR="003D4328">
              <w:rPr>
                <w:noProof/>
                <w:webHidden/>
              </w:rPr>
            </w:r>
            <w:r w:rsidR="003D4328">
              <w:rPr>
                <w:noProof/>
                <w:webHidden/>
              </w:rPr>
              <w:fldChar w:fldCharType="separate"/>
            </w:r>
            <w:r>
              <w:rPr>
                <w:noProof/>
                <w:webHidden/>
              </w:rPr>
              <w:t>7</w:t>
            </w:r>
            <w:r w:rsidR="003D4328">
              <w:rPr>
                <w:noProof/>
                <w:webHidden/>
              </w:rPr>
              <w:fldChar w:fldCharType="end"/>
            </w:r>
          </w:hyperlink>
        </w:p>
        <w:p w14:paraId="7C48AC80" w14:textId="0B841E0E" w:rsidR="003D4328" w:rsidRDefault="006E78A4">
          <w:pPr>
            <w:pStyle w:val="Verzeichnis1"/>
            <w:tabs>
              <w:tab w:val="left" w:pos="440"/>
              <w:tab w:val="right" w:leader="dot" w:pos="9060"/>
            </w:tabs>
            <w:rPr>
              <w:rFonts w:eastAsiaTheme="minorEastAsia"/>
              <w:noProof/>
              <w:lang w:eastAsia="de-CH"/>
            </w:rPr>
          </w:pPr>
          <w:hyperlink w:anchor="_Toc75440054" w:history="1">
            <w:r w:rsidR="003D4328" w:rsidRPr="00E203DA">
              <w:rPr>
                <w:rStyle w:val="Hyperlink"/>
                <w:noProof/>
                <w:lang w:val="fr-CH"/>
                <w14:scene3d>
                  <w14:camera w14:prst="orthographicFront"/>
                  <w14:lightRig w14:rig="threePt" w14:dir="t">
                    <w14:rot w14:lat="0" w14:lon="0" w14:rev="0"/>
                  </w14:lightRig>
                </w14:scene3d>
              </w:rPr>
              <w:t>3</w:t>
            </w:r>
            <w:r w:rsidR="003D4328">
              <w:rPr>
                <w:rFonts w:eastAsiaTheme="minorEastAsia"/>
                <w:noProof/>
                <w:lang w:eastAsia="de-CH"/>
              </w:rPr>
              <w:tab/>
            </w:r>
            <w:r w:rsidR="003D4328" w:rsidRPr="00E203DA">
              <w:rPr>
                <w:rStyle w:val="Hyperlink"/>
                <w:noProof/>
                <w:lang w:val="fr-CH"/>
              </w:rPr>
              <w:t>Informations relatives aux conflits d’intérêts</w:t>
            </w:r>
            <w:r w:rsidR="003D4328">
              <w:rPr>
                <w:noProof/>
                <w:webHidden/>
              </w:rPr>
              <w:tab/>
            </w:r>
            <w:r w:rsidR="003D4328">
              <w:rPr>
                <w:noProof/>
                <w:webHidden/>
              </w:rPr>
              <w:fldChar w:fldCharType="begin"/>
            </w:r>
            <w:r w:rsidR="003D4328">
              <w:rPr>
                <w:noProof/>
                <w:webHidden/>
              </w:rPr>
              <w:instrText xml:space="preserve"> PAGEREF _Toc75440054 \h </w:instrText>
            </w:r>
            <w:r w:rsidR="003D4328">
              <w:rPr>
                <w:noProof/>
                <w:webHidden/>
              </w:rPr>
            </w:r>
            <w:r w:rsidR="003D4328">
              <w:rPr>
                <w:noProof/>
                <w:webHidden/>
              </w:rPr>
              <w:fldChar w:fldCharType="separate"/>
            </w:r>
            <w:r>
              <w:rPr>
                <w:noProof/>
                <w:webHidden/>
              </w:rPr>
              <w:t>7</w:t>
            </w:r>
            <w:r w:rsidR="003D4328">
              <w:rPr>
                <w:noProof/>
                <w:webHidden/>
              </w:rPr>
              <w:fldChar w:fldCharType="end"/>
            </w:r>
          </w:hyperlink>
        </w:p>
        <w:p w14:paraId="0B0E9D25" w14:textId="1711027B" w:rsidR="003D4328" w:rsidRDefault="006E78A4">
          <w:pPr>
            <w:pStyle w:val="Verzeichnis1"/>
            <w:tabs>
              <w:tab w:val="left" w:pos="440"/>
              <w:tab w:val="right" w:leader="dot" w:pos="9060"/>
            </w:tabs>
            <w:rPr>
              <w:rFonts w:eastAsiaTheme="minorEastAsia"/>
              <w:noProof/>
              <w:lang w:eastAsia="de-CH"/>
            </w:rPr>
          </w:pPr>
          <w:hyperlink w:anchor="_Toc75440055" w:history="1">
            <w:r w:rsidR="003D4328" w:rsidRPr="00E203DA">
              <w:rPr>
                <w:rStyle w:val="Hyperlink"/>
                <w:noProof/>
                <w:lang w:val="fr-CH"/>
                <w14:scene3d>
                  <w14:camera w14:prst="orthographicFront"/>
                  <w14:lightRig w14:rig="threePt" w14:dir="t">
                    <w14:rot w14:lat="0" w14:lon="0" w14:rev="0"/>
                  </w14:lightRig>
                </w14:scene3d>
              </w:rPr>
              <w:t>4</w:t>
            </w:r>
            <w:r w:rsidR="003D4328">
              <w:rPr>
                <w:rFonts w:eastAsiaTheme="minorEastAsia"/>
                <w:noProof/>
                <w:lang w:eastAsia="de-CH"/>
              </w:rPr>
              <w:tab/>
            </w:r>
            <w:r w:rsidR="003D4328" w:rsidRPr="00E203DA">
              <w:rPr>
                <w:rStyle w:val="Hyperlink"/>
                <w:noProof/>
                <w:lang w:val="fr-CH"/>
              </w:rPr>
              <w:t>Reddition de comptes de la société vis-à-vis des clients</w:t>
            </w:r>
            <w:r w:rsidR="003D4328">
              <w:rPr>
                <w:noProof/>
                <w:webHidden/>
              </w:rPr>
              <w:tab/>
            </w:r>
            <w:r w:rsidR="003D4328">
              <w:rPr>
                <w:noProof/>
                <w:webHidden/>
              </w:rPr>
              <w:fldChar w:fldCharType="begin"/>
            </w:r>
            <w:r w:rsidR="003D4328">
              <w:rPr>
                <w:noProof/>
                <w:webHidden/>
              </w:rPr>
              <w:instrText xml:space="preserve"> PAGEREF _Toc75440055 \h </w:instrText>
            </w:r>
            <w:r w:rsidR="003D4328">
              <w:rPr>
                <w:noProof/>
                <w:webHidden/>
              </w:rPr>
            </w:r>
            <w:r w:rsidR="003D4328">
              <w:rPr>
                <w:noProof/>
                <w:webHidden/>
              </w:rPr>
              <w:fldChar w:fldCharType="separate"/>
            </w:r>
            <w:r>
              <w:rPr>
                <w:noProof/>
                <w:webHidden/>
              </w:rPr>
              <w:t>9</w:t>
            </w:r>
            <w:r w:rsidR="003D4328">
              <w:rPr>
                <w:noProof/>
                <w:webHidden/>
              </w:rPr>
              <w:fldChar w:fldCharType="end"/>
            </w:r>
          </w:hyperlink>
        </w:p>
        <w:p w14:paraId="4AAF449F" w14:textId="3F456B6B" w:rsidR="003D4328" w:rsidRDefault="006E78A4">
          <w:pPr>
            <w:pStyle w:val="Verzeichnis1"/>
            <w:tabs>
              <w:tab w:val="left" w:pos="440"/>
              <w:tab w:val="right" w:leader="dot" w:pos="9060"/>
            </w:tabs>
            <w:rPr>
              <w:rFonts w:eastAsiaTheme="minorEastAsia"/>
              <w:noProof/>
              <w:lang w:eastAsia="de-CH"/>
            </w:rPr>
          </w:pPr>
          <w:hyperlink w:anchor="_Toc75440056" w:history="1">
            <w:r w:rsidR="003D4328" w:rsidRPr="00E203DA">
              <w:rPr>
                <w:rStyle w:val="Hyperlink"/>
                <w:noProof/>
                <w:lang w:val="fr-CH"/>
                <w14:scene3d>
                  <w14:camera w14:prst="orthographicFront"/>
                  <w14:lightRig w14:rig="threePt" w14:dir="t">
                    <w14:rot w14:lat="0" w14:lon="0" w14:rev="0"/>
                  </w14:lightRig>
                </w14:scene3d>
              </w:rPr>
              <w:t>5</w:t>
            </w:r>
            <w:r w:rsidR="003D4328">
              <w:rPr>
                <w:rFonts w:eastAsiaTheme="minorEastAsia"/>
                <w:noProof/>
                <w:lang w:eastAsia="de-CH"/>
              </w:rPr>
              <w:tab/>
            </w:r>
            <w:r w:rsidR="003D4328" w:rsidRPr="00E203DA">
              <w:rPr>
                <w:rStyle w:val="Hyperlink"/>
                <w:noProof/>
                <w:lang w:val="fr-CH"/>
              </w:rPr>
              <w:t>Informations complémentaires</w:t>
            </w:r>
            <w:r w:rsidR="003D4328">
              <w:rPr>
                <w:noProof/>
                <w:webHidden/>
              </w:rPr>
              <w:tab/>
            </w:r>
            <w:r w:rsidR="003D4328">
              <w:rPr>
                <w:noProof/>
                <w:webHidden/>
              </w:rPr>
              <w:fldChar w:fldCharType="begin"/>
            </w:r>
            <w:r w:rsidR="003D4328">
              <w:rPr>
                <w:noProof/>
                <w:webHidden/>
              </w:rPr>
              <w:instrText xml:space="preserve"> PAGEREF _Toc75440056 \h </w:instrText>
            </w:r>
            <w:r w:rsidR="003D4328">
              <w:rPr>
                <w:noProof/>
                <w:webHidden/>
              </w:rPr>
            </w:r>
            <w:r w:rsidR="003D4328">
              <w:rPr>
                <w:noProof/>
                <w:webHidden/>
              </w:rPr>
              <w:fldChar w:fldCharType="separate"/>
            </w:r>
            <w:r>
              <w:rPr>
                <w:noProof/>
                <w:webHidden/>
              </w:rPr>
              <w:t>9</w:t>
            </w:r>
            <w:r w:rsidR="003D4328">
              <w:rPr>
                <w:noProof/>
                <w:webHidden/>
              </w:rPr>
              <w:fldChar w:fldCharType="end"/>
            </w:r>
          </w:hyperlink>
        </w:p>
        <w:p w14:paraId="40E859BC" w14:textId="7F50BBB2" w:rsidR="003D4328" w:rsidRDefault="006E78A4">
          <w:pPr>
            <w:pStyle w:val="Verzeichnis2"/>
            <w:tabs>
              <w:tab w:val="left" w:pos="880"/>
              <w:tab w:val="right" w:leader="dot" w:pos="9060"/>
            </w:tabs>
            <w:rPr>
              <w:rFonts w:eastAsiaTheme="minorEastAsia"/>
              <w:noProof/>
              <w:lang w:eastAsia="de-CH"/>
            </w:rPr>
          </w:pPr>
          <w:hyperlink w:anchor="_Toc75440057" w:history="1">
            <w:r w:rsidR="003D4328" w:rsidRPr="00E203DA">
              <w:rPr>
                <w:rStyle w:val="Hyperlink"/>
                <w:bCs/>
                <w:noProof/>
                <w:lang w:val="fr-CH"/>
                <w14:scene3d>
                  <w14:camera w14:prst="orthographicFront"/>
                  <w14:lightRig w14:rig="threePt" w14:dir="t">
                    <w14:rot w14:lat="0" w14:lon="0" w14:rev="0"/>
                  </w14:lightRig>
                </w14:scene3d>
              </w:rPr>
              <w:t>5.1</w:t>
            </w:r>
            <w:r w:rsidR="003D4328">
              <w:rPr>
                <w:rFonts w:eastAsiaTheme="minorEastAsia"/>
                <w:noProof/>
                <w:lang w:eastAsia="de-CH"/>
              </w:rPr>
              <w:tab/>
            </w:r>
            <w:r w:rsidR="003D4328" w:rsidRPr="00E203DA">
              <w:rPr>
                <w:rStyle w:val="Hyperlink"/>
                <w:noProof/>
                <w:lang w:val="fr-CH"/>
              </w:rPr>
              <w:t>Informations relatives à la délégation de prestations essentielles</w:t>
            </w:r>
            <w:r w:rsidR="003D4328">
              <w:rPr>
                <w:noProof/>
                <w:webHidden/>
              </w:rPr>
              <w:tab/>
            </w:r>
            <w:r w:rsidR="003D4328">
              <w:rPr>
                <w:noProof/>
                <w:webHidden/>
              </w:rPr>
              <w:fldChar w:fldCharType="begin"/>
            </w:r>
            <w:r w:rsidR="003D4328">
              <w:rPr>
                <w:noProof/>
                <w:webHidden/>
              </w:rPr>
              <w:instrText xml:space="preserve"> PAGEREF _Toc75440057 \h </w:instrText>
            </w:r>
            <w:r w:rsidR="003D4328">
              <w:rPr>
                <w:noProof/>
                <w:webHidden/>
              </w:rPr>
            </w:r>
            <w:r w:rsidR="003D4328">
              <w:rPr>
                <w:noProof/>
                <w:webHidden/>
              </w:rPr>
              <w:fldChar w:fldCharType="separate"/>
            </w:r>
            <w:r>
              <w:rPr>
                <w:noProof/>
                <w:webHidden/>
              </w:rPr>
              <w:t>9</w:t>
            </w:r>
            <w:r w:rsidR="003D4328">
              <w:rPr>
                <w:noProof/>
                <w:webHidden/>
              </w:rPr>
              <w:fldChar w:fldCharType="end"/>
            </w:r>
          </w:hyperlink>
        </w:p>
        <w:p w14:paraId="2CC75033" w14:textId="715DA7B8" w:rsidR="003D4328" w:rsidRDefault="006E78A4">
          <w:pPr>
            <w:pStyle w:val="Verzeichnis2"/>
            <w:tabs>
              <w:tab w:val="left" w:pos="880"/>
              <w:tab w:val="right" w:leader="dot" w:pos="9060"/>
            </w:tabs>
            <w:rPr>
              <w:rFonts w:eastAsiaTheme="minorEastAsia"/>
              <w:noProof/>
              <w:lang w:eastAsia="de-CH"/>
            </w:rPr>
          </w:pPr>
          <w:hyperlink w:anchor="_Toc75440058" w:history="1">
            <w:r w:rsidR="003D4328" w:rsidRPr="00E203DA">
              <w:rPr>
                <w:rStyle w:val="Hyperlink"/>
                <w:bCs/>
                <w:noProof/>
                <w:lang w:val="fr-CH"/>
                <w14:scene3d>
                  <w14:camera w14:prst="orthographicFront"/>
                  <w14:lightRig w14:rig="threePt" w14:dir="t">
                    <w14:rot w14:lat="0" w14:lon="0" w14:rev="0"/>
                  </w14:lightRig>
                </w14:scene3d>
              </w:rPr>
              <w:t>5.2</w:t>
            </w:r>
            <w:r w:rsidR="003D4328">
              <w:rPr>
                <w:rFonts w:eastAsiaTheme="minorEastAsia"/>
                <w:noProof/>
                <w:lang w:eastAsia="de-CH"/>
              </w:rPr>
              <w:tab/>
            </w:r>
            <w:r w:rsidR="003D4328" w:rsidRPr="00E203DA">
              <w:rPr>
                <w:rStyle w:val="Hyperlink"/>
                <w:noProof/>
                <w:lang w:val="fr-CH"/>
              </w:rPr>
              <w:t>Informations sur la collecte d’informations, le traitement des données et le classement des clients</w:t>
            </w:r>
            <w:r w:rsidR="003D4328">
              <w:rPr>
                <w:noProof/>
                <w:webHidden/>
              </w:rPr>
              <w:tab/>
            </w:r>
            <w:r w:rsidR="003D4328">
              <w:rPr>
                <w:noProof/>
                <w:webHidden/>
              </w:rPr>
              <w:tab/>
            </w:r>
            <w:r w:rsidR="003D4328">
              <w:rPr>
                <w:noProof/>
                <w:webHidden/>
              </w:rPr>
              <w:fldChar w:fldCharType="begin"/>
            </w:r>
            <w:r w:rsidR="003D4328">
              <w:rPr>
                <w:noProof/>
                <w:webHidden/>
              </w:rPr>
              <w:instrText xml:space="preserve"> PAGEREF _Toc75440058 \h </w:instrText>
            </w:r>
            <w:r w:rsidR="003D4328">
              <w:rPr>
                <w:noProof/>
                <w:webHidden/>
              </w:rPr>
            </w:r>
            <w:r w:rsidR="003D4328">
              <w:rPr>
                <w:noProof/>
                <w:webHidden/>
              </w:rPr>
              <w:fldChar w:fldCharType="separate"/>
            </w:r>
            <w:r>
              <w:rPr>
                <w:noProof/>
                <w:webHidden/>
              </w:rPr>
              <w:t>10</w:t>
            </w:r>
            <w:r w:rsidR="003D4328">
              <w:rPr>
                <w:noProof/>
                <w:webHidden/>
              </w:rPr>
              <w:fldChar w:fldCharType="end"/>
            </w:r>
          </w:hyperlink>
        </w:p>
        <w:p w14:paraId="755C7244" w14:textId="3F097D2D" w:rsidR="003D4328" w:rsidRDefault="006E78A4">
          <w:pPr>
            <w:pStyle w:val="Verzeichnis2"/>
            <w:tabs>
              <w:tab w:val="left" w:pos="880"/>
              <w:tab w:val="right" w:leader="dot" w:pos="9060"/>
            </w:tabs>
            <w:rPr>
              <w:rFonts w:eastAsiaTheme="minorEastAsia"/>
              <w:noProof/>
              <w:lang w:eastAsia="de-CH"/>
            </w:rPr>
          </w:pPr>
          <w:hyperlink w:anchor="_Toc75440059" w:history="1">
            <w:r w:rsidR="003D4328" w:rsidRPr="00E203DA">
              <w:rPr>
                <w:rStyle w:val="Hyperlink"/>
                <w:bCs/>
                <w:noProof/>
                <w:lang w:val="fr-CH"/>
                <w14:scene3d>
                  <w14:camera w14:prst="orthographicFront"/>
                  <w14:lightRig w14:rig="threePt" w14:dir="t">
                    <w14:rot w14:lat="0" w14:lon="0" w14:rev="0"/>
                  </w14:lightRig>
                </w14:scene3d>
              </w:rPr>
              <w:t>5.3</w:t>
            </w:r>
            <w:r w:rsidR="003D4328">
              <w:rPr>
                <w:rFonts w:eastAsiaTheme="minorEastAsia"/>
                <w:noProof/>
                <w:lang w:eastAsia="de-CH"/>
              </w:rPr>
              <w:tab/>
            </w:r>
            <w:r w:rsidR="003D4328" w:rsidRPr="00E203DA">
              <w:rPr>
                <w:rStyle w:val="Hyperlink"/>
                <w:noProof/>
                <w:lang w:val="fr-CH"/>
              </w:rPr>
              <w:t>Information du client selon la loi fédérale sur les placements collectifs de capitaux (LPCC)</w:t>
            </w:r>
            <w:r w:rsidR="003D4328">
              <w:rPr>
                <w:noProof/>
                <w:webHidden/>
              </w:rPr>
              <w:tab/>
            </w:r>
            <w:r w:rsidR="003D4328">
              <w:rPr>
                <w:noProof/>
                <w:webHidden/>
              </w:rPr>
              <w:fldChar w:fldCharType="begin"/>
            </w:r>
            <w:r w:rsidR="003D4328">
              <w:rPr>
                <w:noProof/>
                <w:webHidden/>
              </w:rPr>
              <w:instrText xml:space="preserve"> PAGEREF _Toc75440059 \h </w:instrText>
            </w:r>
            <w:r w:rsidR="003D4328">
              <w:rPr>
                <w:noProof/>
                <w:webHidden/>
              </w:rPr>
            </w:r>
            <w:r w:rsidR="003D4328">
              <w:rPr>
                <w:noProof/>
                <w:webHidden/>
              </w:rPr>
              <w:fldChar w:fldCharType="separate"/>
            </w:r>
            <w:r>
              <w:rPr>
                <w:noProof/>
                <w:webHidden/>
              </w:rPr>
              <w:t>10</w:t>
            </w:r>
            <w:r w:rsidR="003D4328">
              <w:rPr>
                <w:noProof/>
                <w:webHidden/>
              </w:rPr>
              <w:fldChar w:fldCharType="end"/>
            </w:r>
          </w:hyperlink>
        </w:p>
        <w:p w14:paraId="76988E51" w14:textId="1E306C95" w:rsidR="003D4328" w:rsidRDefault="006E78A4">
          <w:pPr>
            <w:pStyle w:val="Verzeichnis2"/>
            <w:tabs>
              <w:tab w:val="left" w:pos="880"/>
              <w:tab w:val="right" w:leader="dot" w:pos="9060"/>
            </w:tabs>
            <w:rPr>
              <w:rFonts w:eastAsiaTheme="minorEastAsia"/>
              <w:noProof/>
              <w:lang w:eastAsia="de-CH"/>
            </w:rPr>
          </w:pPr>
          <w:hyperlink w:anchor="_Toc75440060" w:history="1">
            <w:r w:rsidR="003D4328" w:rsidRPr="00E203DA">
              <w:rPr>
                <w:rStyle w:val="Hyperlink"/>
                <w:bCs/>
                <w:noProof/>
                <w:lang w:val="fr-CH"/>
                <w14:scene3d>
                  <w14:camera w14:prst="orthographicFront"/>
                  <w14:lightRig w14:rig="threePt" w14:dir="t">
                    <w14:rot w14:lat="0" w14:lon="0" w14:rev="0"/>
                  </w14:lightRig>
                </w14:scene3d>
              </w:rPr>
              <w:t>5.4</w:t>
            </w:r>
            <w:r w:rsidR="003D4328">
              <w:rPr>
                <w:rFonts w:eastAsiaTheme="minorEastAsia"/>
                <w:noProof/>
                <w:lang w:eastAsia="de-CH"/>
              </w:rPr>
              <w:tab/>
            </w:r>
            <w:r w:rsidR="003D4328" w:rsidRPr="00E203DA">
              <w:rPr>
                <w:rStyle w:val="Hyperlink"/>
                <w:noProof/>
                <w:lang w:val="fr-CH"/>
              </w:rPr>
              <w:t>Avoirs en déshérence</w:t>
            </w:r>
            <w:r w:rsidR="003D4328">
              <w:rPr>
                <w:noProof/>
                <w:webHidden/>
              </w:rPr>
              <w:tab/>
            </w:r>
            <w:r w:rsidR="003D4328">
              <w:rPr>
                <w:noProof/>
                <w:webHidden/>
              </w:rPr>
              <w:fldChar w:fldCharType="begin"/>
            </w:r>
            <w:r w:rsidR="003D4328">
              <w:rPr>
                <w:noProof/>
                <w:webHidden/>
              </w:rPr>
              <w:instrText xml:space="preserve"> PAGEREF _Toc75440060 \h </w:instrText>
            </w:r>
            <w:r w:rsidR="003D4328">
              <w:rPr>
                <w:noProof/>
                <w:webHidden/>
              </w:rPr>
            </w:r>
            <w:r w:rsidR="003D4328">
              <w:rPr>
                <w:noProof/>
                <w:webHidden/>
              </w:rPr>
              <w:fldChar w:fldCharType="separate"/>
            </w:r>
            <w:r>
              <w:rPr>
                <w:noProof/>
                <w:webHidden/>
              </w:rPr>
              <w:t>10</w:t>
            </w:r>
            <w:r w:rsidR="003D4328">
              <w:rPr>
                <w:noProof/>
                <w:webHidden/>
              </w:rPr>
              <w:fldChar w:fldCharType="end"/>
            </w:r>
          </w:hyperlink>
        </w:p>
        <w:p w14:paraId="55989DC1" w14:textId="36121028" w:rsidR="003D4328" w:rsidRDefault="006E78A4">
          <w:pPr>
            <w:pStyle w:val="Verzeichnis2"/>
            <w:tabs>
              <w:tab w:val="left" w:pos="880"/>
              <w:tab w:val="right" w:leader="dot" w:pos="9060"/>
            </w:tabs>
            <w:rPr>
              <w:rFonts w:eastAsiaTheme="minorEastAsia"/>
              <w:noProof/>
              <w:lang w:eastAsia="de-CH"/>
            </w:rPr>
          </w:pPr>
          <w:hyperlink w:anchor="_Toc75440061" w:history="1">
            <w:r w:rsidR="003D4328" w:rsidRPr="00E203DA">
              <w:rPr>
                <w:rStyle w:val="Hyperlink"/>
                <w:bCs/>
                <w:noProof/>
                <w:lang w:val="fr-CH"/>
                <w14:scene3d>
                  <w14:camera w14:prst="orthographicFront"/>
                  <w14:lightRig w14:rig="threePt" w14:dir="t">
                    <w14:rot w14:lat="0" w14:lon="0" w14:rev="0"/>
                  </w14:lightRig>
                </w14:scene3d>
              </w:rPr>
              <w:t>5.5</w:t>
            </w:r>
            <w:r w:rsidR="003D4328">
              <w:rPr>
                <w:rFonts w:eastAsiaTheme="minorEastAsia"/>
                <w:noProof/>
                <w:lang w:eastAsia="de-CH"/>
              </w:rPr>
              <w:tab/>
            </w:r>
            <w:r w:rsidR="003D4328" w:rsidRPr="00E203DA">
              <w:rPr>
                <w:rStyle w:val="Hyperlink"/>
                <w:noProof/>
                <w:lang w:val="fr-CH"/>
              </w:rPr>
              <w:t>Plaintes de clients/organe de médiation</w:t>
            </w:r>
            <w:r w:rsidR="003D4328">
              <w:rPr>
                <w:noProof/>
                <w:webHidden/>
              </w:rPr>
              <w:tab/>
            </w:r>
            <w:r w:rsidR="003D4328">
              <w:rPr>
                <w:noProof/>
                <w:webHidden/>
              </w:rPr>
              <w:fldChar w:fldCharType="begin"/>
            </w:r>
            <w:r w:rsidR="003D4328">
              <w:rPr>
                <w:noProof/>
                <w:webHidden/>
              </w:rPr>
              <w:instrText xml:space="preserve"> PAGEREF _Toc75440061 \h </w:instrText>
            </w:r>
            <w:r w:rsidR="003D4328">
              <w:rPr>
                <w:noProof/>
                <w:webHidden/>
              </w:rPr>
            </w:r>
            <w:r w:rsidR="003D4328">
              <w:rPr>
                <w:noProof/>
                <w:webHidden/>
              </w:rPr>
              <w:fldChar w:fldCharType="separate"/>
            </w:r>
            <w:r>
              <w:rPr>
                <w:noProof/>
                <w:webHidden/>
              </w:rPr>
              <w:t>11</w:t>
            </w:r>
            <w:r w:rsidR="003D4328">
              <w:rPr>
                <w:noProof/>
                <w:webHidden/>
              </w:rPr>
              <w:fldChar w:fldCharType="end"/>
            </w:r>
          </w:hyperlink>
        </w:p>
        <w:p w14:paraId="5AE8D758" w14:textId="75B1C550" w:rsidR="003D4328" w:rsidRDefault="006E78A4">
          <w:pPr>
            <w:pStyle w:val="Verzeichnis2"/>
            <w:tabs>
              <w:tab w:val="left" w:pos="880"/>
              <w:tab w:val="right" w:leader="dot" w:pos="9060"/>
            </w:tabs>
            <w:rPr>
              <w:rFonts w:eastAsiaTheme="minorEastAsia"/>
              <w:noProof/>
              <w:lang w:eastAsia="de-CH"/>
            </w:rPr>
          </w:pPr>
          <w:hyperlink w:anchor="_Toc75440062" w:history="1">
            <w:r w:rsidR="003D4328" w:rsidRPr="00E203DA">
              <w:rPr>
                <w:rStyle w:val="Hyperlink"/>
                <w:bCs/>
                <w:noProof/>
                <w:lang w:val="fr-CH"/>
                <w14:scene3d>
                  <w14:camera w14:prst="orthographicFront"/>
                  <w14:lightRig w14:rig="threePt" w14:dir="t">
                    <w14:rot w14:lat="0" w14:lon="0" w14:rev="0"/>
                  </w14:lightRig>
                </w14:scene3d>
              </w:rPr>
              <w:t>5.6</w:t>
            </w:r>
            <w:r w:rsidR="003D4328">
              <w:rPr>
                <w:rFonts w:eastAsiaTheme="minorEastAsia"/>
                <w:noProof/>
                <w:lang w:eastAsia="de-CH"/>
              </w:rPr>
              <w:tab/>
            </w:r>
            <w:r w:rsidR="003D4328" w:rsidRPr="00E203DA">
              <w:rPr>
                <w:rStyle w:val="Hyperlink"/>
                <w:noProof/>
                <w:lang w:val="fr-CH"/>
              </w:rPr>
              <w:t>Informations complémentaires</w:t>
            </w:r>
            <w:r w:rsidR="003D4328">
              <w:rPr>
                <w:noProof/>
                <w:webHidden/>
              </w:rPr>
              <w:tab/>
            </w:r>
            <w:r w:rsidR="003D4328">
              <w:rPr>
                <w:noProof/>
                <w:webHidden/>
              </w:rPr>
              <w:fldChar w:fldCharType="begin"/>
            </w:r>
            <w:r w:rsidR="003D4328">
              <w:rPr>
                <w:noProof/>
                <w:webHidden/>
              </w:rPr>
              <w:instrText xml:space="preserve"> PAGEREF _Toc75440062 \h </w:instrText>
            </w:r>
            <w:r w:rsidR="003D4328">
              <w:rPr>
                <w:noProof/>
                <w:webHidden/>
              </w:rPr>
            </w:r>
            <w:r w:rsidR="003D4328">
              <w:rPr>
                <w:noProof/>
                <w:webHidden/>
              </w:rPr>
              <w:fldChar w:fldCharType="separate"/>
            </w:r>
            <w:r>
              <w:rPr>
                <w:noProof/>
                <w:webHidden/>
              </w:rPr>
              <w:t>11</w:t>
            </w:r>
            <w:r w:rsidR="003D4328">
              <w:rPr>
                <w:noProof/>
                <w:webHidden/>
              </w:rPr>
              <w:fldChar w:fldCharType="end"/>
            </w:r>
          </w:hyperlink>
        </w:p>
        <w:p w14:paraId="5949DE12" w14:textId="319A29D4" w:rsidR="00231C7D" w:rsidRPr="00C14D35" w:rsidRDefault="00231C7D" w:rsidP="00231C7D">
          <w:pPr>
            <w:rPr>
              <w:rFonts w:asciiTheme="majorHAnsi" w:hAnsiTheme="majorHAnsi"/>
              <w:lang w:val="fr-CH"/>
            </w:rPr>
          </w:pPr>
          <w:r w:rsidRPr="00C14D35">
            <w:rPr>
              <w:rFonts w:asciiTheme="majorHAnsi" w:hAnsiTheme="majorHAnsi"/>
              <w:b/>
              <w:lang w:val="fr-CH"/>
            </w:rPr>
            <w:fldChar w:fldCharType="end"/>
          </w:r>
        </w:p>
      </w:sdtContent>
    </w:sdt>
    <w:p w14:paraId="01D93A66" w14:textId="77777777" w:rsidR="00231C7D" w:rsidRPr="00C14D35" w:rsidRDefault="00231C7D" w:rsidP="00231C7D">
      <w:pPr>
        <w:spacing w:after="0" w:line="240" w:lineRule="auto"/>
        <w:rPr>
          <w:rFonts w:asciiTheme="majorHAnsi" w:hAnsiTheme="majorHAnsi"/>
          <w:b/>
          <w:sz w:val="32"/>
          <w:szCs w:val="32"/>
          <w:lang w:val="fr-CH"/>
        </w:rPr>
      </w:pPr>
    </w:p>
    <w:p w14:paraId="05A21713" w14:textId="77777777" w:rsidR="00231C7D" w:rsidRPr="00C14D35" w:rsidRDefault="00231C7D" w:rsidP="00231C7D">
      <w:pPr>
        <w:spacing w:after="0" w:line="240" w:lineRule="auto"/>
        <w:rPr>
          <w:rFonts w:asciiTheme="majorHAnsi" w:hAnsiTheme="majorHAnsi"/>
          <w:b/>
          <w:sz w:val="32"/>
          <w:szCs w:val="32"/>
          <w:lang w:val="fr-CH"/>
        </w:rPr>
      </w:pPr>
    </w:p>
    <w:p w14:paraId="365BFA57" w14:textId="77777777" w:rsidR="00231C7D" w:rsidRPr="00C14D35" w:rsidRDefault="00231C7D" w:rsidP="00231C7D">
      <w:pPr>
        <w:spacing w:after="0" w:line="240" w:lineRule="auto"/>
        <w:rPr>
          <w:rFonts w:asciiTheme="majorHAnsi" w:hAnsiTheme="majorHAnsi"/>
          <w:b/>
          <w:sz w:val="32"/>
          <w:szCs w:val="32"/>
          <w:lang w:val="fr-CH"/>
        </w:rPr>
      </w:pPr>
    </w:p>
    <w:p w14:paraId="019F9C30" w14:textId="77777777" w:rsidR="00231C7D" w:rsidRPr="00C14D35" w:rsidRDefault="00231C7D" w:rsidP="00231C7D">
      <w:pPr>
        <w:spacing w:after="0" w:line="240" w:lineRule="auto"/>
        <w:rPr>
          <w:rFonts w:asciiTheme="majorHAnsi" w:hAnsiTheme="majorHAnsi"/>
          <w:b/>
          <w:sz w:val="32"/>
          <w:szCs w:val="32"/>
          <w:lang w:val="fr-CH"/>
        </w:rPr>
      </w:pPr>
    </w:p>
    <w:p w14:paraId="633797A8" w14:textId="77777777" w:rsidR="00231C7D" w:rsidRPr="00C14D35" w:rsidRDefault="00231C7D" w:rsidP="00231C7D">
      <w:pPr>
        <w:spacing w:after="0" w:line="240" w:lineRule="auto"/>
        <w:rPr>
          <w:rFonts w:asciiTheme="majorHAnsi" w:hAnsiTheme="majorHAnsi"/>
          <w:b/>
          <w:sz w:val="32"/>
          <w:szCs w:val="32"/>
          <w:lang w:val="fr-CH"/>
        </w:rPr>
      </w:pPr>
    </w:p>
    <w:p w14:paraId="66C1E70A" w14:textId="77777777" w:rsidR="00231C7D" w:rsidRPr="00C14D35" w:rsidRDefault="00231C7D" w:rsidP="00231C7D">
      <w:pPr>
        <w:spacing w:after="0" w:line="240" w:lineRule="auto"/>
        <w:rPr>
          <w:rFonts w:asciiTheme="majorHAnsi" w:hAnsiTheme="majorHAnsi"/>
          <w:b/>
          <w:sz w:val="32"/>
          <w:szCs w:val="32"/>
          <w:lang w:val="fr-CH"/>
        </w:rPr>
      </w:pPr>
    </w:p>
    <w:p w14:paraId="37C95C3A" w14:textId="77777777" w:rsidR="00231C7D" w:rsidRPr="00C14D35" w:rsidRDefault="00231C7D" w:rsidP="00231C7D">
      <w:pPr>
        <w:spacing w:after="0" w:line="240" w:lineRule="auto"/>
        <w:rPr>
          <w:rFonts w:asciiTheme="majorHAnsi" w:hAnsiTheme="majorHAnsi"/>
          <w:b/>
          <w:sz w:val="32"/>
          <w:szCs w:val="32"/>
          <w:lang w:val="fr-CH"/>
        </w:rPr>
      </w:pPr>
    </w:p>
    <w:p w14:paraId="42E3DEA2" w14:textId="5F92A299" w:rsidR="00231C7D" w:rsidRPr="00C14D35" w:rsidRDefault="00231C7D" w:rsidP="00231C7D">
      <w:pPr>
        <w:pStyle w:val="berschrift1"/>
        <w:rPr>
          <w:lang w:val="fr-CH"/>
        </w:rPr>
      </w:pPr>
      <w:bookmarkStart w:id="1" w:name="_Toc75440042"/>
      <w:r w:rsidRPr="00C14D35">
        <w:rPr>
          <w:lang w:val="fr-CH"/>
        </w:rPr>
        <w:lastRenderedPageBreak/>
        <w:t>Informations relatives à la société Martellus</w:t>
      </w:r>
      <w:r w:rsidR="00E74E1C" w:rsidRPr="00C14D35">
        <w:rPr>
          <w:lang w:val="fr-CH"/>
        </w:rPr>
        <w:t> </w:t>
      </w:r>
      <w:r w:rsidRPr="00C14D35">
        <w:rPr>
          <w:lang w:val="fr-CH"/>
        </w:rPr>
        <w:t>Capital</w:t>
      </w:r>
      <w:r w:rsidR="00E74E1C" w:rsidRPr="00C14D35">
        <w:rPr>
          <w:lang w:val="fr-CH"/>
        </w:rPr>
        <w:t> </w:t>
      </w:r>
      <w:proofErr w:type="gramStart"/>
      <w:r w:rsidRPr="00C14D35">
        <w:rPr>
          <w:lang w:val="fr-CH"/>
        </w:rPr>
        <w:t>AG:</w:t>
      </w:r>
      <w:bookmarkEnd w:id="1"/>
      <w:proofErr w:type="gramEnd"/>
    </w:p>
    <w:p w14:paraId="3AE0C438" w14:textId="12AC841A" w:rsidR="00231C7D" w:rsidRPr="00C14D35" w:rsidRDefault="00231C7D" w:rsidP="00231C7D">
      <w:pPr>
        <w:pStyle w:val="berschrift2"/>
        <w:tabs>
          <w:tab w:val="left" w:pos="426"/>
        </w:tabs>
        <w:ind w:left="567" w:hanging="567"/>
        <w:rPr>
          <w:lang w:val="fr-CH"/>
        </w:rPr>
      </w:pPr>
      <w:bookmarkStart w:id="2" w:name="_Toc75440043"/>
      <w:r w:rsidRPr="00C14D35">
        <w:rPr>
          <w:lang w:val="fr-CH"/>
        </w:rPr>
        <w:t>A propos de la</w:t>
      </w:r>
      <w:r w:rsidR="0079320F">
        <w:rPr>
          <w:lang w:val="fr-CH"/>
        </w:rPr>
        <w:t xml:space="preserve"> société</w:t>
      </w:r>
      <w:bookmarkEnd w:id="2"/>
      <w:r w:rsidRPr="00C14D35">
        <w:rPr>
          <w:lang w:val="fr-CH"/>
        </w:rPr>
        <w:t xml:space="preserve"> </w:t>
      </w:r>
    </w:p>
    <w:p w14:paraId="5BD46A3D" w14:textId="077F0445" w:rsidR="00231C7D" w:rsidRPr="00C14D35" w:rsidRDefault="00231C7D" w:rsidP="00231C7D">
      <w:pPr>
        <w:spacing w:after="0"/>
        <w:jc w:val="both"/>
        <w:rPr>
          <w:rFonts w:asciiTheme="majorHAnsi" w:hAnsiTheme="majorHAnsi"/>
          <w:lang w:val="fr-CH"/>
        </w:rPr>
      </w:pPr>
      <w:r w:rsidRPr="00C14D35">
        <w:rPr>
          <w:rFonts w:asciiTheme="majorHAnsi" w:hAnsiTheme="majorHAnsi"/>
          <w:lang w:val="fr-CH"/>
        </w:rPr>
        <w:t>MARTELLUS</w:t>
      </w:r>
      <w:r w:rsidR="00E74E1C" w:rsidRPr="00C14D35">
        <w:rPr>
          <w:rFonts w:asciiTheme="majorHAnsi" w:hAnsiTheme="majorHAnsi"/>
          <w:lang w:val="fr-CH"/>
        </w:rPr>
        <w:t> </w:t>
      </w:r>
      <w:r w:rsidRPr="00C14D35">
        <w:rPr>
          <w:rFonts w:asciiTheme="majorHAnsi" w:hAnsiTheme="majorHAnsi"/>
          <w:lang w:val="fr-CH"/>
        </w:rPr>
        <w:t>CAPITAL</w:t>
      </w:r>
      <w:r w:rsidR="00E74E1C" w:rsidRPr="00C14D35">
        <w:rPr>
          <w:rFonts w:asciiTheme="majorHAnsi" w:hAnsiTheme="majorHAnsi"/>
          <w:lang w:val="fr-CH"/>
        </w:rPr>
        <w:t> </w:t>
      </w:r>
      <w:r w:rsidRPr="00C14D35">
        <w:rPr>
          <w:rFonts w:asciiTheme="majorHAnsi" w:hAnsiTheme="majorHAnsi"/>
          <w:lang w:val="fr-CH"/>
        </w:rPr>
        <w:t>AG (ci-après</w:t>
      </w:r>
      <w:r w:rsidR="00E74E1C" w:rsidRPr="00C14D35">
        <w:rPr>
          <w:rFonts w:asciiTheme="majorHAnsi" w:hAnsiTheme="majorHAnsi"/>
          <w:lang w:val="fr-CH"/>
        </w:rPr>
        <w:t xml:space="preserve"> «</w:t>
      </w:r>
      <w:r w:rsidR="00E74E1C" w:rsidRPr="00C14D35">
        <w:rPr>
          <w:smallCaps/>
          <w:u w:val="single"/>
          <w:lang w:val="fr-CH"/>
        </w:rPr>
        <w:t xml:space="preserve">la </w:t>
      </w:r>
      <w:proofErr w:type="gramStart"/>
      <w:r w:rsidR="00E74E1C" w:rsidRPr="00C14D35">
        <w:rPr>
          <w:smallCaps/>
          <w:u w:val="single"/>
          <w:lang w:val="fr-CH"/>
        </w:rPr>
        <w:t>société</w:t>
      </w:r>
      <w:r w:rsidRPr="00C14D35">
        <w:rPr>
          <w:rFonts w:asciiTheme="majorHAnsi" w:hAnsiTheme="majorHAnsi"/>
          <w:lang w:val="fr-CH"/>
        </w:rPr>
        <w:t>»</w:t>
      </w:r>
      <w:proofErr w:type="gramEnd"/>
      <w:r w:rsidRPr="00C14D35">
        <w:rPr>
          <w:rFonts w:asciiTheme="majorHAnsi" w:hAnsiTheme="majorHAnsi"/>
          <w:lang w:val="fr-CH"/>
        </w:rPr>
        <w:t xml:space="preserve">) est une société anonyme selon le droit suisse dont le siège et le domicile sont au </w:t>
      </w:r>
      <w:proofErr w:type="spellStart"/>
      <w:r w:rsidRPr="00C14D35">
        <w:rPr>
          <w:rFonts w:asciiTheme="majorHAnsi" w:hAnsiTheme="majorHAnsi"/>
          <w:lang w:val="fr-CH"/>
        </w:rPr>
        <w:t>Seehofstrasse</w:t>
      </w:r>
      <w:proofErr w:type="spellEnd"/>
      <w:r w:rsidR="00C14D35" w:rsidRPr="00C14D35">
        <w:rPr>
          <w:rFonts w:asciiTheme="majorHAnsi" w:hAnsiTheme="majorHAnsi"/>
          <w:lang w:val="fr-CH"/>
        </w:rPr>
        <w:t> </w:t>
      </w:r>
      <w:r w:rsidRPr="00C14D35">
        <w:rPr>
          <w:rFonts w:asciiTheme="majorHAnsi" w:hAnsiTheme="majorHAnsi"/>
          <w:lang w:val="fr-CH"/>
        </w:rPr>
        <w:t>4 à 8008</w:t>
      </w:r>
      <w:r w:rsidR="00C14D35" w:rsidRPr="00C14D35">
        <w:rPr>
          <w:rFonts w:asciiTheme="majorHAnsi" w:hAnsiTheme="majorHAnsi"/>
          <w:lang w:val="fr-CH"/>
        </w:rPr>
        <w:t> </w:t>
      </w:r>
      <w:r w:rsidRPr="00C14D35">
        <w:rPr>
          <w:rFonts w:asciiTheme="majorHAnsi" w:hAnsiTheme="majorHAnsi"/>
          <w:lang w:val="fr-CH"/>
        </w:rPr>
        <w:t xml:space="preserve">Zurich. Les clients et autres partenaires commerciaux peuvent nous joindre à Zurich aux horaires de bureau habituels à l’adresse </w:t>
      </w:r>
      <w:proofErr w:type="gramStart"/>
      <w:r w:rsidRPr="00C14D35">
        <w:rPr>
          <w:rFonts w:asciiTheme="majorHAnsi" w:hAnsiTheme="majorHAnsi"/>
          <w:lang w:val="fr-CH"/>
        </w:rPr>
        <w:t>suivante:</w:t>
      </w:r>
      <w:proofErr w:type="gramEnd"/>
    </w:p>
    <w:p w14:paraId="7EFC9473" w14:textId="77777777" w:rsidR="00231C7D" w:rsidRPr="00C14D35" w:rsidRDefault="00231C7D" w:rsidP="00231C7D">
      <w:pPr>
        <w:rPr>
          <w:rFonts w:asciiTheme="majorHAnsi" w:hAnsiTheme="majorHAnsi"/>
          <w:lang w:val="fr-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31C7D" w:rsidRPr="00C14D35" w14:paraId="198022D4" w14:textId="77777777" w:rsidTr="00746555">
        <w:tc>
          <w:tcPr>
            <w:tcW w:w="2122" w:type="dxa"/>
          </w:tcPr>
          <w:p w14:paraId="3AD80E5E" w14:textId="77777777"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Nom</w:t>
            </w:r>
          </w:p>
        </w:tc>
        <w:tc>
          <w:tcPr>
            <w:tcW w:w="6940" w:type="dxa"/>
          </w:tcPr>
          <w:p w14:paraId="0DABF91A" w14:textId="4FD40D17"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Martellus</w:t>
            </w:r>
            <w:r w:rsidR="00C14D35" w:rsidRPr="00C14D35">
              <w:rPr>
                <w:rFonts w:asciiTheme="majorHAnsi" w:hAnsiTheme="majorHAnsi"/>
                <w:color w:val="auto"/>
                <w:lang w:val="fr-CH"/>
              </w:rPr>
              <w:t> </w:t>
            </w:r>
            <w:r w:rsidRPr="00C14D35">
              <w:rPr>
                <w:rFonts w:asciiTheme="majorHAnsi" w:hAnsiTheme="majorHAnsi"/>
                <w:color w:val="auto"/>
                <w:lang w:val="fr-CH"/>
              </w:rPr>
              <w:t>Capital</w:t>
            </w:r>
            <w:r w:rsidR="00C14D35" w:rsidRPr="00C14D35">
              <w:rPr>
                <w:rFonts w:asciiTheme="majorHAnsi" w:hAnsiTheme="majorHAnsi"/>
                <w:color w:val="auto"/>
                <w:lang w:val="fr-CH"/>
              </w:rPr>
              <w:t> </w:t>
            </w:r>
            <w:r w:rsidRPr="00C14D35">
              <w:rPr>
                <w:rFonts w:asciiTheme="majorHAnsi" w:hAnsiTheme="majorHAnsi"/>
                <w:color w:val="auto"/>
                <w:lang w:val="fr-CH"/>
              </w:rPr>
              <w:t>AG</w:t>
            </w:r>
          </w:p>
        </w:tc>
      </w:tr>
      <w:tr w:rsidR="00231C7D" w:rsidRPr="00C14D35" w14:paraId="023D49C9" w14:textId="77777777" w:rsidTr="00746555">
        <w:tc>
          <w:tcPr>
            <w:tcW w:w="2122" w:type="dxa"/>
          </w:tcPr>
          <w:p w14:paraId="63C4E453" w14:textId="77777777" w:rsidR="00231C7D" w:rsidRPr="00C14D35" w:rsidRDefault="00231C7D" w:rsidP="00746555">
            <w:pPr>
              <w:pStyle w:val="Default"/>
              <w:jc w:val="both"/>
              <w:rPr>
                <w:rFonts w:asciiTheme="majorHAnsi" w:hAnsiTheme="majorHAnsi" w:cs="Arial"/>
                <w:b/>
                <w:color w:val="auto"/>
                <w:lang w:val="fr-CH"/>
              </w:rPr>
            </w:pPr>
            <w:bookmarkStart w:id="3" w:name="_Hlk63779657"/>
            <w:r w:rsidRPr="00C14D35">
              <w:rPr>
                <w:rFonts w:asciiTheme="majorHAnsi" w:hAnsiTheme="majorHAnsi"/>
                <w:b/>
                <w:color w:val="auto"/>
                <w:lang w:val="fr-CH"/>
              </w:rPr>
              <w:t>Adresse</w:t>
            </w:r>
          </w:p>
        </w:tc>
        <w:tc>
          <w:tcPr>
            <w:tcW w:w="6940" w:type="dxa"/>
          </w:tcPr>
          <w:p w14:paraId="13781EAB" w14:textId="49C52C48" w:rsidR="00231C7D" w:rsidRPr="00C14D35" w:rsidRDefault="00231C7D" w:rsidP="00746555">
            <w:pPr>
              <w:pStyle w:val="Default"/>
              <w:jc w:val="both"/>
              <w:rPr>
                <w:rFonts w:asciiTheme="majorHAnsi" w:hAnsiTheme="majorHAnsi" w:cs="Arial"/>
                <w:color w:val="auto"/>
                <w:lang w:val="fr-CH"/>
              </w:rPr>
            </w:pPr>
            <w:proofErr w:type="spellStart"/>
            <w:r w:rsidRPr="00C14D35">
              <w:rPr>
                <w:rFonts w:asciiTheme="majorHAnsi" w:hAnsiTheme="majorHAnsi"/>
                <w:color w:val="auto"/>
                <w:lang w:val="fr-CH"/>
              </w:rPr>
              <w:t>Seehofstrasse</w:t>
            </w:r>
            <w:proofErr w:type="spellEnd"/>
            <w:r w:rsidR="00C14D35" w:rsidRPr="00C14D35">
              <w:rPr>
                <w:rFonts w:asciiTheme="majorHAnsi" w:hAnsiTheme="majorHAnsi"/>
                <w:color w:val="auto"/>
                <w:lang w:val="fr-CH"/>
              </w:rPr>
              <w:t> </w:t>
            </w:r>
            <w:r w:rsidRPr="00C14D35">
              <w:rPr>
                <w:rFonts w:asciiTheme="majorHAnsi" w:hAnsiTheme="majorHAnsi"/>
                <w:color w:val="auto"/>
                <w:lang w:val="fr-CH"/>
              </w:rPr>
              <w:t>4</w:t>
            </w:r>
          </w:p>
        </w:tc>
      </w:tr>
      <w:tr w:rsidR="00231C7D" w:rsidRPr="00C14D35" w14:paraId="23DDA662" w14:textId="77777777" w:rsidTr="00746555">
        <w:tc>
          <w:tcPr>
            <w:tcW w:w="2122" w:type="dxa"/>
          </w:tcPr>
          <w:p w14:paraId="04445853" w14:textId="77777777"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NPA/localité</w:t>
            </w:r>
          </w:p>
        </w:tc>
        <w:tc>
          <w:tcPr>
            <w:tcW w:w="6940" w:type="dxa"/>
          </w:tcPr>
          <w:p w14:paraId="4CFD1363" w14:textId="45C860BE"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8008</w:t>
            </w:r>
            <w:r w:rsidR="00C14D35" w:rsidRPr="00C14D35">
              <w:rPr>
                <w:rFonts w:asciiTheme="majorHAnsi" w:hAnsiTheme="majorHAnsi"/>
                <w:color w:val="auto"/>
                <w:lang w:val="fr-CH"/>
              </w:rPr>
              <w:t> </w:t>
            </w:r>
            <w:r w:rsidRPr="00C14D35">
              <w:rPr>
                <w:rFonts w:asciiTheme="majorHAnsi" w:hAnsiTheme="majorHAnsi"/>
                <w:color w:val="auto"/>
                <w:lang w:val="fr-CH"/>
              </w:rPr>
              <w:t>Z</w:t>
            </w:r>
            <w:r w:rsidR="00EB17D4">
              <w:rPr>
                <w:rFonts w:asciiTheme="majorHAnsi" w:hAnsiTheme="majorHAnsi"/>
                <w:color w:val="auto"/>
                <w:lang w:val="fr-CH"/>
              </w:rPr>
              <w:t>ü</w:t>
            </w:r>
            <w:r w:rsidRPr="00C14D35">
              <w:rPr>
                <w:rFonts w:asciiTheme="majorHAnsi" w:hAnsiTheme="majorHAnsi"/>
                <w:color w:val="auto"/>
                <w:lang w:val="fr-CH"/>
              </w:rPr>
              <w:t>rich</w:t>
            </w:r>
          </w:p>
        </w:tc>
      </w:tr>
      <w:tr w:rsidR="00231C7D" w:rsidRPr="00C14D35" w14:paraId="4F595610" w14:textId="77777777" w:rsidTr="00746555">
        <w:tc>
          <w:tcPr>
            <w:tcW w:w="2122" w:type="dxa"/>
          </w:tcPr>
          <w:p w14:paraId="0944B79A" w14:textId="77777777"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Téléphone</w:t>
            </w:r>
          </w:p>
        </w:tc>
        <w:tc>
          <w:tcPr>
            <w:tcW w:w="6940" w:type="dxa"/>
          </w:tcPr>
          <w:p w14:paraId="2C4432B0" w14:textId="040F5E33"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w:t>
            </w:r>
            <w:r w:rsidR="00C14D35" w:rsidRPr="00C14D35">
              <w:rPr>
                <w:rFonts w:asciiTheme="majorHAnsi" w:hAnsiTheme="majorHAnsi"/>
                <w:color w:val="auto"/>
                <w:lang w:val="fr-CH"/>
              </w:rPr>
              <w:t> 4</w:t>
            </w:r>
            <w:r w:rsidRPr="00C14D35">
              <w:rPr>
                <w:rFonts w:asciiTheme="majorHAnsi" w:hAnsiTheme="majorHAnsi"/>
                <w:color w:val="auto"/>
                <w:lang w:val="fr-CH"/>
              </w:rPr>
              <w:t>1</w:t>
            </w:r>
            <w:r w:rsidR="00C14D35" w:rsidRPr="00C14D35">
              <w:rPr>
                <w:rFonts w:asciiTheme="majorHAnsi" w:hAnsiTheme="majorHAnsi"/>
                <w:color w:val="auto"/>
                <w:lang w:val="fr-CH"/>
              </w:rPr>
              <w:t> </w:t>
            </w:r>
            <w:r w:rsidRPr="00C14D35">
              <w:rPr>
                <w:rFonts w:asciiTheme="majorHAnsi" w:hAnsiTheme="majorHAnsi"/>
                <w:color w:val="auto"/>
                <w:lang w:val="fr-CH"/>
              </w:rPr>
              <w:t>44</w:t>
            </w:r>
            <w:r w:rsidR="00C14D35" w:rsidRPr="00C14D35">
              <w:rPr>
                <w:rFonts w:asciiTheme="majorHAnsi" w:hAnsiTheme="majorHAnsi"/>
                <w:color w:val="auto"/>
                <w:lang w:val="fr-CH"/>
              </w:rPr>
              <w:t> </w:t>
            </w:r>
            <w:r w:rsidRPr="00C14D35">
              <w:rPr>
                <w:rFonts w:asciiTheme="majorHAnsi" w:hAnsiTheme="majorHAnsi"/>
                <w:color w:val="auto"/>
                <w:lang w:val="fr-CH"/>
              </w:rPr>
              <w:t>521</w:t>
            </w:r>
            <w:r w:rsidR="00C14D35" w:rsidRPr="00C14D35">
              <w:rPr>
                <w:rFonts w:asciiTheme="majorHAnsi" w:hAnsiTheme="majorHAnsi"/>
                <w:color w:val="auto"/>
                <w:lang w:val="fr-CH"/>
              </w:rPr>
              <w:t> </w:t>
            </w:r>
            <w:r w:rsidRPr="00C14D35">
              <w:rPr>
                <w:rFonts w:asciiTheme="majorHAnsi" w:hAnsiTheme="majorHAnsi"/>
                <w:color w:val="auto"/>
                <w:lang w:val="fr-CH"/>
              </w:rPr>
              <w:t>54</w:t>
            </w:r>
            <w:r w:rsidR="00C14D35" w:rsidRPr="00C14D35">
              <w:rPr>
                <w:rFonts w:asciiTheme="majorHAnsi" w:hAnsiTheme="majorHAnsi"/>
                <w:color w:val="auto"/>
                <w:lang w:val="fr-CH"/>
              </w:rPr>
              <w:t> </w:t>
            </w:r>
            <w:r w:rsidRPr="00C14D35">
              <w:rPr>
                <w:rFonts w:asciiTheme="majorHAnsi" w:hAnsiTheme="majorHAnsi"/>
                <w:color w:val="auto"/>
                <w:lang w:val="fr-CH"/>
              </w:rPr>
              <w:t>41</w:t>
            </w:r>
          </w:p>
        </w:tc>
      </w:tr>
      <w:tr w:rsidR="00231C7D" w:rsidRPr="00C14D35" w14:paraId="6E575161" w14:textId="77777777" w:rsidTr="00746555">
        <w:tc>
          <w:tcPr>
            <w:tcW w:w="2122" w:type="dxa"/>
          </w:tcPr>
          <w:p w14:paraId="314792A2" w14:textId="77777777" w:rsidR="00231C7D" w:rsidRPr="00C14D35" w:rsidRDefault="00231C7D" w:rsidP="00746555">
            <w:pPr>
              <w:pStyle w:val="Default"/>
              <w:jc w:val="both"/>
              <w:rPr>
                <w:rFonts w:asciiTheme="majorHAnsi" w:hAnsiTheme="majorHAnsi" w:cs="Arial"/>
                <w:b/>
                <w:color w:val="auto"/>
                <w:lang w:val="fr-CH"/>
              </w:rPr>
            </w:pPr>
            <w:proofErr w:type="gramStart"/>
            <w:r w:rsidRPr="00C14D35">
              <w:rPr>
                <w:rFonts w:asciiTheme="majorHAnsi" w:hAnsiTheme="majorHAnsi"/>
                <w:b/>
                <w:color w:val="auto"/>
                <w:lang w:val="fr-CH"/>
              </w:rPr>
              <w:t>E-mail</w:t>
            </w:r>
            <w:proofErr w:type="gramEnd"/>
          </w:p>
        </w:tc>
        <w:tc>
          <w:tcPr>
            <w:tcW w:w="6940" w:type="dxa"/>
          </w:tcPr>
          <w:p w14:paraId="21D11D21" w14:textId="77777777"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info@martellus.ch</w:t>
            </w:r>
          </w:p>
        </w:tc>
      </w:tr>
      <w:tr w:rsidR="00231C7D" w:rsidRPr="00C14D35" w14:paraId="7B2D1A69" w14:textId="77777777" w:rsidTr="00746555">
        <w:tc>
          <w:tcPr>
            <w:tcW w:w="2122" w:type="dxa"/>
          </w:tcPr>
          <w:p w14:paraId="26D9E0A3" w14:textId="77777777"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Site Internet</w:t>
            </w:r>
          </w:p>
        </w:tc>
        <w:tc>
          <w:tcPr>
            <w:tcW w:w="6940" w:type="dxa"/>
          </w:tcPr>
          <w:p w14:paraId="0F8BA45C" w14:textId="77777777"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Martellus.ch</w:t>
            </w:r>
          </w:p>
        </w:tc>
      </w:tr>
      <w:bookmarkEnd w:id="3"/>
      <w:tr w:rsidR="00231C7D" w:rsidRPr="00C14D35" w14:paraId="4BB2E9B7" w14:textId="77777777" w:rsidTr="00746555">
        <w:tc>
          <w:tcPr>
            <w:tcW w:w="2122" w:type="dxa"/>
          </w:tcPr>
          <w:p w14:paraId="0C5B28CE" w14:textId="77777777" w:rsidR="00231C7D" w:rsidRPr="00C14D35" w:rsidRDefault="00231C7D" w:rsidP="00746555">
            <w:pPr>
              <w:pStyle w:val="Default"/>
              <w:jc w:val="both"/>
              <w:rPr>
                <w:rFonts w:asciiTheme="majorHAnsi" w:hAnsiTheme="majorHAnsi" w:cs="Arial"/>
                <w:b/>
                <w:color w:val="auto"/>
                <w:lang w:val="fr-CH"/>
              </w:rPr>
            </w:pPr>
          </w:p>
        </w:tc>
        <w:tc>
          <w:tcPr>
            <w:tcW w:w="6940" w:type="dxa"/>
          </w:tcPr>
          <w:p w14:paraId="203927A7" w14:textId="77777777" w:rsidR="00231C7D" w:rsidRPr="00C14D35" w:rsidRDefault="00231C7D" w:rsidP="00746555">
            <w:pPr>
              <w:pStyle w:val="Default"/>
              <w:jc w:val="both"/>
              <w:rPr>
                <w:rFonts w:asciiTheme="majorHAnsi" w:hAnsiTheme="majorHAnsi" w:cs="Arial"/>
                <w:color w:val="auto"/>
                <w:lang w:val="fr-CH"/>
              </w:rPr>
            </w:pPr>
          </w:p>
        </w:tc>
      </w:tr>
      <w:tr w:rsidR="00231C7D" w:rsidRPr="00C14D35" w14:paraId="765EB9B0" w14:textId="77777777" w:rsidTr="00746555">
        <w:tc>
          <w:tcPr>
            <w:tcW w:w="2122" w:type="dxa"/>
          </w:tcPr>
          <w:p w14:paraId="29BCE63A" w14:textId="77777777" w:rsidR="00231C7D" w:rsidRPr="00C14D35" w:rsidRDefault="00231C7D" w:rsidP="00746555">
            <w:pPr>
              <w:pStyle w:val="Default"/>
              <w:jc w:val="both"/>
              <w:rPr>
                <w:rFonts w:asciiTheme="majorHAnsi" w:hAnsiTheme="majorHAnsi" w:cs="Arial"/>
                <w:b/>
                <w:color w:val="auto"/>
                <w:lang w:val="fr-CH"/>
              </w:rPr>
            </w:pPr>
          </w:p>
        </w:tc>
        <w:tc>
          <w:tcPr>
            <w:tcW w:w="6940" w:type="dxa"/>
          </w:tcPr>
          <w:p w14:paraId="4ED90341" w14:textId="77777777" w:rsidR="00231C7D" w:rsidRPr="00C14D35" w:rsidRDefault="00231C7D" w:rsidP="00746555">
            <w:pPr>
              <w:pStyle w:val="Default"/>
              <w:jc w:val="both"/>
              <w:rPr>
                <w:rFonts w:asciiTheme="majorHAnsi" w:hAnsiTheme="majorHAnsi" w:cs="Arial"/>
                <w:color w:val="auto"/>
                <w:lang w:val="fr-CH"/>
              </w:rPr>
            </w:pPr>
          </w:p>
        </w:tc>
      </w:tr>
      <w:tr w:rsidR="00231C7D" w:rsidRPr="00C14D35" w14:paraId="46A44248" w14:textId="77777777" w:rsidTr="00746555">
        <w:tc>
          <w:tcPr>
            <w:tcW w:w="2122" w:type="dxa"/>
          </w:tcPr>
          <w:p w14:paraId="2B06966A" w14:textId="1E9C1932"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N</w:t>
            </w:r>
            <w:r w:rsidRPr="00C14D35">
              <w:rPr>
                <w:rFonts w:asciiTheme="majorHAnsi" w:hAnsiTheme="majorHAnsi"/>
                <w:b/>
                <w:color w:val="auto"/>
                <w:vertAlign w:val="superscript"/>
                <w:lang w:val="fr-CH"/>
              </w:rPr>
              <w:t>o</w:t>
            </w:r>
            <w:r w:rsidR="00C14D35" w:rsidRPr="00C14D35">
              <w:rPr>
                <w:rFonts w:asciiTheme="majorHAnsi" w:hAnsiTheme="majorHAnsi"/>
                <w:b/>
                <w:color w:val="auto"/>
                <w:vertAlign w:val="superscript"/>
                <w:lang w:val="fr-CH"/>
              </w:rPr>
              <w:t> </w:t>
            </w:r>
            <w:r w:rsidRPr="00C14D35">
              <w:rPr>
                <w:rFonts w:asciiTheme="majorHAnsi" w:hAnsiTheme="majorHAnsi"/>
                <w:b/>
                <w:color w:val="auto"/>
                <w:lang w:val="fr-CH"/>
              </w:rPr>
              <w:t>RC</w:t>
            </w:r>
          </w:p>
        </w:tc>
        <w:tc>
          <w:tcPr>
            <w:tcW w:w="6940" w:type="dxa"/>
          </w:tcPr>
          <w:p w14:paraId="36C5358D" w14:textId="77777777"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CHE-101.605.962</w:t>
            </w:r>
          </w:p>
        </w:tc>
      </w:tr>
      <w:tr w:rsidR="00231C7D" w:rsidRPr="00C14D35" w14:paraId="593CE8BE" w14:textId="77777777" w:rsidTr="00746555">
        <w:tc>
          <w:tcPr>
            <w:tcW w:w="2122" w:type="dxa"/>
          </w:tcPr>
          <w:p w14:paraId="268F98C1" w14:textId="61EAAF09" w:rsidR="00231C7D" w:rsidRPr="00C14D35" w:rsidRDefault="00231C7D" w:rsidP="00746555">
            <w:pPr>
              <w:pStyle w:val="Default"/>
              <w:jc w:val="both"/>
              <w:rPr>
                <w:rFonts w:asciiTheme="majorHAnsi" w:hAnsiTheme="majorHAnsi" w:cs="Arial"/>
                <w:b/>
                <w:color w:val="auto"/>
                <w:lang w:val="fr-CH"/>
              </w:rPr>
            </w:pPr>
            <w:r w:rsidRPr="00C14D35">
              <w:rPr>
                <w:rFonts w:asciiTheme="majorHAnsi" w:hAnsiTheme="majorHAnsi"/>
                <w:b/>
                <w:color w:val="auto"/>
                <w:lang w:val="fr-CH"/>
              </w:rPr>
              <w:t>N</w:t>
            </w:r>
            <w:r w:rsidRPr="00C14D35">
              <w:rPr>
                <w:rFonts w:asciiTheme="majorHAnsi" w:hAnsiTheme="majorHAnsi"/>
                <w:b/>
                <w:color w:val="auto"/>
                <w:vertAlign w:val="superscript"/>
                <w:lang w:val="fr-CH"/>
              </w:rPr>
              <w:t>o</w:t>
            </w:r>
            <w:r w:rsidR="00C14D35" w:rsidRPr="00C14D35">
              <w:rPr>
                <w:rFonts w:asciiTheme="majorHAnsi" w:hAnsiTheme="majorHAnsi"/>
                <w:b/>
                <w:color w:val="auto"/>
                <w:vertAlign w:val="superscript"/>
                <w:lang w:val="fr-CH"/>
              </w:rPr>
              <w:t> </w:t>
            </w:r>
            <w:r w:rsidRPr="00C14D35">
              <w:rPr>
                <w:rFonts w:asciiTheme="majorHAnsi" w:hAnsiTheme="majorHAnsi"/>
                <w:b/>
                <w:color w:val="auto"/>
                <w:lang w:val="fr-CH"/>
              </w:rPr>
              <w:t>TVA</w:t>
            </w:r>
          </w:p>
        </w:tc>
        <w:tc>
          <w:tcPr>
            <w:tcW w:w="6940" w:type="dxa"/>
          </w:tcPr>
          <w:p w14:paraId="6DE3DA5C" w14:textId="77777777" w:rsidR="00231C7D" w:rsidRPr="00C14D35" w:rsidRDefault="00231C7D" w:rsidP="00746555">
            <w:pPr>
              <w:pStyle w:val="Default"/>
              <w:jc w:val="both"/>
              <w:rPr>
                <w:rFonts w:asciiTheme="majorHAnsi" w:hAnsiTheme="majorHAnsi" w:cs="Arial"/>
                <w:color w:val="auto"/>
                <w:lang w:val="fr-CH"/>
              </w:rPr>
            </w:pPr>
            <w:r w:rsidRPr="00C14D35">
              <w:rPr>
                <w:rFonts w:asciiTheme="majorHAnsi" w:hAnsiTheme="majorHAnsi"/>
                <w:color w:val="auto"/>
                <w:lang w:val="fr-CH"/>
              </w:rPr>
              <w:t>507.359</w:t>
            </w:r>
          </w:p>
        </w:tc>
      </w:tr>
    </w:tbl>
    <w:p w14:paraId="10B99B77" w14:textId="77777777" w:rsidR="00231C7D" w:rsidRPr="00C14D35" w:rsidRDefault="00231C7D" w:rsidP="00231C7D">
      <w:pPr>
        <w:rPr>
          <w:rFonts w:asciiTheme="majorHAnsi" w:hAnsiTheme="majorHAnsi"/>
          <w:sz w:val="24"/>
          <w:szCs w:val="24"/>
          <w:lang w:val="fr-CH" w:eastAsia="de-DE"/>
        </w:rPr>
      </w:pPr>
    </w:p>
    <w:p w14:paraId="3B8DE0EC" w14:textId="77777777" w:rsidR="00231C7D" w:rsidRPr="00C14D35" w:rsidRDefault="00231C7D" w:rsidP="00231C7D">
      <w:pPr>
        <w:pStyle w:val="berschrift2"/>
        <w:tabs>
          <w:tab w:val="left" w:pos="426"/>
        </w:tabs>
        <w:ind w:left="567" w:hanging="567"/>
        <w:rPr>
          <w:lang w:val="fr-CH"/>
        </w:rPr>
      </w:pPr>
      <w:r w:rsidRPr="00C14D35">
        <w:rPr>
          <w:lang w:val="fr-CH"/>
        </w:rPr>
        <w:t xml:space="preserve"> </w:t>
      </w:r>
      <w:bookmarkStart w:id="4" w:name="_Toc75440044"/>
      <w:r w:rsidRPr="00C14D35">
        <w:rPr>
          <w:lang w:val="fr-CH"/>
        </w:rPr>
        <w:t>Notre offre de services</w:t>
      </w:r>
      <w:bookmarkEnd w:id="4"/>
    </w:p>
    <w:p w14:paraId="4CFA9C85" w14:textId="77777777" w:rsidR="00231C7D" w:rsidRPr="00C14D35" w:rsidRDefault="00231C7D" w:rsidP="00231C7D">
      <w:pPr>
        <w:pStyle w:val="berschrift2"/>
        <w:ind w:left="567"/>
        <w:rPr>
          <w:lang w:val="fr-CH"/>
        </w:rPr>
      </w:pPr>
      <w:bookmarkStart w:id="5" w:name="_Toc75440045"/>
      <w:r w:rsidRPr="00C14D35">
        <w:rPr>
          <w:lang w:val="fr-CH"/>
        </w:rPr>
        <w:t>Régime de surveillance</w:t>
      </w:r>
      <w:bookmarkEnd w:id="5"/>
    </w:p>
    <w:p w14:paraId="45536B8A" w14:textId="4A8795DF" w:rsidR="00231C7D" w:rsidRPr="00C14D35" w:rsidRDefault="0008740B" w:rsidP="00231C7D">
      <w:pPr>
        <w:spacing w:after="0"/>
        <w:jc w:val="both"/>
        <w:rPr>
          <w:rFonts w:asciiTheme="majorHAnsi" w:hAnsiTheme="majorHAnsi" w:cs="Arial"/>
          <w:lang w:val="fr-CH"/>
        </w:rPr>
      </w:pPr>
      <w:r w:rsidRPr="0008740B">
        <w:rPr>
          <w:rFonts w:asciiTheme="majorHAnsi" w:hAnsiTheme="majorHAnsi"/>
          <w:lang w:val="fr-CH"/>
        </w:rPr>
        <w:t>La</w:t>
      </w:r>
      <w:r w:rsidR="00B33567" w:rsidRPr="00B33567">
        <w:rPr>
          <w:rFonts w:asciiTheme="majorHAnsi" w:hAnsiTheme="majorHAnsi"/>
          <w:smallCaps/>
          <w:lang w:val="fr-CH"/>
        </w:rPr>
        <w:t xml:space="preserve"> </w:t>
      </w:r>
      <w:r w:rsidR="00B33567" w:rsidRPr="00C14D35">
        <w:rPr>
          <w:rFonts w:asciiTheme="majorHAnsi" w:hAnsiTheme="majorHAnsi"/>
          <w:smallCaps/>
          <w:lang w:val="fr-CH"/>
        </w:rPr>
        <w:t>société</w:t>
      </w:r>
      <w:r w:rsidRPr="0008740B">
        <w:rPr>
          <w:rFonts w:asciiTheme="majorHAnsi" w:hAnsiTheme="majorHAnsi"/>
          <w:lang w:val="fr-CH"/>
        </w:rPr>
        <w:t xml:space="preserve"> est un gestionnaire de fortune agréé par la FINMA au sens de l'art. 2 al. 1 LFINMA et remplit les exigences de la loi fédérale du 15 juin 2018 sur les prestations de services financiers (LFID ; RS 950.1).   En outre, la </w:t>
      </w:r>
      <w:r w:rsidR="00B33567" w:rsidRPr="00C14D35">
        <w:rPr>
          <w:rFonts w:asciiTheme="majorHAnsi" w:hAnsiTheme="majorHAnsi"/>
          <w:smallCaps/>
          <w:lang w:val="fr-CH"/>
        </w:rPr>
        <w:t>société</w:t>
      </w:r>
      <w:r w:rsidR="00B33567" w:rsidRPr="0008740B">
        <w:rPr>
          <w:rFonts w:asciiTheme="majorHAnsi" w:hAnsiTheme="majorHAnsi"/>
          <w:lang w:val="fr-CH"/>
        </w:rPr>
        <w:t xml:space="preserve"> </w:t>
      </w:r>
      <w:r w:rsidRPr="0008740B">
        <w:rPr>
          <w:rFonts w:asciiTheme="majorHAnsi" w:hAnsiTheme="majorHAnsi"/>
          <w:lang w:val="fr-CH"/>
        </w:rPr>
        <w:t>est affiliée à l'Ombudsman Finances Suisse (OFS), 16 Boulevard des Tranchées, 1206 Genève, est surveillée par l'organisation de surveillance de l'AOOS - Société anonyme suisse de surveillance et est membre de l'Association suisse des gérants de fortune (ASG).</w:t>
      </w:r>
      <w:r w:rsidR="00231C7D" w:rsidRPr="00C14D35">
        <w:rPr>
          <w:rFonts w:asciiTheme="majorHAnsi" w:hAnsiTheme="majorHAnsi"/>
          <w:lang w:val="fr-CH"/>
        </w:rPr>
        <w:t xml:space="preserve">La </w:t>
      </w:r>
      <w:r w:rsidR="00B33567" w:rsidRPr="00C14D35">
        <w:rPr>
          <w:rFonts w:asciiTheme="majorHAnsi" w:hAnsiTheme="majorHAnsi"/>
          <w:smallCaps/>
          <w:lang w:val="fr-CH"/>
        </w:rPr>
        <w:t xml:space="preserve">société </w:t>
      </w:r>
      <w:r w:rsidR="00231C7D" w:rsidRPr="00C14D35">
        <w:rPr>
          <w:rFonts w:asciiTheme="majorHAnsi" w:hAnsiTheme="majorHAnsi"/>
          <w:lang w:val="fr-CH"/>
        </w:rPr>
        <w:t xml:space="preserve">est placée sous la surveillance de l’organisme d’autorégulation AOOS – Société anonyme suisse de surveillance, </w:t>
      </w:r>
      <w:proofErr w:type="spellStart"/>
      <w:r w:rsidR="00231C7D" w:rsidRPr="00C14D35">
        <w:rPr>
          <w:rFonts w:asciiTheme="majorHAnsi" w:hAnsiTheme="majorHAnsi"/>
          <w:lang w:val="fr-CH"/>
        </w:rPr>
        <w:t>Clausiusstrasse</w:t>
      </w:r>
      <w:proofErr w:type="spellEnd"/>
      <w:r w:rsidR="001A05D7">
        <w:rPr>
          <w:rFonts w:asciiTheme="majorHAnsi" w:hAnsiTheme="majorHAnsi"/>
          <w:lang w:val="fr-CH"/>
        </w:rPr>
        <w:t> </w:t>
      </w:r>
      <w:r w:rsidR="00231C7D" w:rsidRPr="00C14D35">
        <w:rPr>
          <w:rFonts w:asciiTheme="majorHAnsi" w:hAnsiTheme="majorHAnsi"/>
          <w:lang w:val="fr-CH"/>
        </w:rPr>
        <w:t>50, 8006</w:t>
      </w:r>
      <w:r w:rsidR="001A05D7">
        <w:rPr>
          <w:rFonts w:asciiTheme="majorHAnsi" w:hAnsiTheme="majorHAnsi"/>
          <w:lang w:val="fr-CH"/>
        </w:rPr>
        <w:t> </w:t>
      </w:r>
      <w:r w:rsidR="00231C7D" w:rsidRPr="00C14D35">
        <w:rPr>
          <w:rFonts w:asciiTheme="majorHAnsi" w:hAnsiTheme="majorHAnsi"/>
          <w:lang w:val="fr-CH"/>
        </w:rPr>
        <w:t xml:space="preserve">Zurich, en matière de lutte contre le blanchiment et de règles de conduite professionnelles. </w:t>
      </w:r>
    </w:p>
    <w:p w14:paraId="2C516314" w14:textId="77777777" w:rsidR="00231C7D" w:rsidRPr="00C14D35" w:rsidRDefault="00231C7D" w:rsidP="00231C7D">
      <w:pPr>
        <w:spacing w:after="0"/>
        <w:jc w:val="both"/>
        <w:rPr>
          <w:rFonts w:asciiTheme="majorHAnsi" w:hAnsiTheme="majorHAnsi" w:cs="Arial"/>
          <w:lang w:val="fr-CH"/>
        </w:rPr>
      </w:pPr>
    </w:p>
    <w:p w14:paraId="2BF17BEC" w14:textId="6E868A80" w:rsidR="00231C7D" w:rsidRPr="00C14D35" w:rsidRDefault="00231C7D" w:rsidP="00231C7D">
      <w:pPr>
        <w:pStyle w:val="Default"/>
        <w:jc w:val="both"/>
        <w:rPr>
          <w:rFonts w:asciiTheme="majorHAnsi" w:hAnsiTheme="majorHAnsi" w:cs="Arial"/>
          <w:color w:val="auto"/>
          <w:sz w:val="22"/>
          <w:szCs w:val="22"/>
          <w:lang w:val="fr-CH"/>
        </w:rPr>
      </w:pPr>
      <w:r w:rsidRPr="00C14D35">
        <w:rPr>
          <w:rFonts w:asciiTheme="majorHAnsi" w:hAnsiTheme="majorHAnsi"/>
          <w:color w:val="auto"/>
          <w:sz w:val="22"/>
          <w:lang w:val="fr-CH"/>
        </w:rPr>
        <w:t xml:space="preserve">La </w:t>
      </w:r>
      <w:r w:rsidR="00B33567" w:rsidRPr="00C14D35">
        <w:rPr>
          <w:rFonts w:asciiTheme="majorHAnsi" w:hAnsiTheme="majorHAnsi"/>
          <w:smallCaps/>
          <w:lang w:val="fr-CH"/>
        </w:rPr>
        <w:t xml:space="preserve">société </w:t>
      </w:r>
      <w:r w:rsidRPr="00C14D35">
        <w:rPr>
          <w:rFonts w:asciiTheme="majorHAnsi" w:hAnsiTheme="majorHAnsi"/>
          <w:color w:val="auto"/>
          <w:sz w:val="22"/>
          <w:lang w:val="fr-CH"/>
        </w:rPr>
        <w:t>est soumise au secret professionnel conformément à la loi sur les établissements financiers.</w:t>
      </w:r>
    </w:p>
    <w:p w14:paraId="6A2BCFCB" w14:textId="77777777" w:rsidR="00231C7D" w:rsidRPr="00C14D35" w:rsidRDefault="00231C7D" w:rsidP="00231C7D">
      <w:pPr>
        <w:pStyle w:val="Default"/>
        <w:jc w:val="both"/>
        <w:rPr>
          <w:rFonts w:asciiTheme="majorHAnsi" w:hAnsiTheme="majorHAnsi" w:cs="Arial"/>
          <w:color w:val="auto"/>
          <w:sz w:val="22"/>
          <w:szCs w:val="22"/>
          <w:lang w:val="fr-CH"/>
        </w:rPr>
      </w:pPr>
    </w:p>
    <w:p w14:paraId="2DCF8E64"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est exclusivement autorisée en Suisse pour les services de conseils en placement et de gestion de fortune. Les relations juridiques entre le client et la </w:t>
      </w:r>
      <w:r w:rsidRPr="00C14D35">
        <w:rPr>
          <w:rFonts w:asciiTheme="majorHAnsi" w:hAnsiTheme="majorHAnsi"/>
          <w:smallCaps/>
          <w:lang w:val="fr-CH"/>
        </w:rPr>
        <w:t>société</w:t>
      </w:r>
      <w:r w:rsidRPr="00C14D35">
        <w:rPr>
          <w:rFonts w:asciiTheme="majorHAnsi" w:hAnsiTheme="majorHAnsi"/>
          <w:lang w:val="fr-CH"/>
        </w:rPr>
        <w:t xml:space="preserve"> sont exclusivement régies par le droit suisse.</w:t>
      </w:r>
    </w:p>
    <w:p w14:paraId="0E965E89" w14:textId="77777777" w:rsidR="00231C7D" w:rsidRPr="00C14D35" w:rsidRDefault="00231C7D" w:rsidP="00231C7D">
      <w:pPr>
        <w:pStyle w:val="Default"/>
        <w:jc w:val="both"/>
        <w:rPr>
          <w:rFonts w:asciiTheme="majorHAnsi" w:hAnsiTheme="majorHAnsi" w:cs="Arial"/>
          <w:i/>
          <w:iCs/>
          <w:color w:val="auto"/>
          <w:sz w:val="22"/>
          <w:szCs w:val="22"/>
          <w:lang w:val="fr-CH" w:eastAsia="de-CH"/>
        </w:rPr>
      </w:pPr>
    </w:p>
    <w:p w14:paraId="39B556D5" w14:textId="77777777" w:rsidR="00231C7D" w:rsidRPr="008A5677" w:rsidRDefault="00231C7D" w:rsidP="00231C7D">
      <w:pPr>
        <w:pStyle w:val="berschrift1"/>
        <w:ind w:right="-286"/>
        <w:rPr>
          <w:lang w:val="fr-CH"/>
        </w:rPr>
      </w:pPr>
      <w:bookmarkStart w:id="6" w:name="_Toc75440046"/>
      <w:r w:rsidRPr="008A5677">
        <w:rPr>
          <w:lang w:val="fr-CH"/>
        </w:rPr>
        <w:lastRenderedPageBreak/>
        <w:t>Principes de la prestation de services</w:t>
      </w:r>
      <w:bookmarkEnd w:id="6"/>
    </w:p>
    <w:p w14:paraId="7CD0F188" w14:textId="77777777" w:rsidR="00231C7D" w:rsidRPr="00C14D35" w:rsidRDefault="00231C7D" w:rsidP="00231C7D">
      <w:pPr>
        <w:pStyle w:val="berschrift2"/>
        <w:ind w:left="567"/>
        <w:rPr>
          <w:lang w:val="fr-CH"/>
        </w:rPr>
      </w:pPr>
      <w:bookmarkStart w:id="7" w:name="_Toc75440047"/>
      <w:r w:rsidRPr="00C14D35">
        <w:rPr>
          <w:lang w:val="fr-CH"/>
        </w:rPr>
        <w:t>Pas de liens de distribution avec des tiers</w:t>
      </w:r>
      <w:bookmarkEnd w:id="7"/>
    </w:p>
    <w:p w14:paraId="42332360" w14:textId="77777777" w:rsidR="00B91131" w:rsidRDefault="00231C7D" w:rsidP="00231C7D">
      <w:pPr>
        <w:jc w:val="both"/>
        <w:rPr>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fournit ses prestations en toute indépendance vis-à-vis des banques et des fournisseurs de produits financiers. Elle n’a aucun lien exclusif. Si le client en fait la demande, la </w:t>
      </w:r>
      <w:r w:rsidRPr="00C14D35">
        <w:rPr>
          <w:rFonts w:asciiTheme="majorHAnsi" w:hAnsiTheme="majorHAnsi"/>
          <w:smallCaps/>
          <w:lang w:val="fr-CH"/>
        </w:rPr>
        <w:t>société</w:t>
      </w:r>
      <w:r w:rsidRPr="00C14D35">
        <w:rPr>
          <w:rFonts w:asciiTheme="majorHAnsi" w:hAnsiTheme="majorHAnsi"/>
          <w:lang w:val="fr-CH"/>
        </w:rPr>
        <w:t xml:space="preserve"> lui recommande, pour le placement de sa fortune, des banques et des entreprises d’investissement qui offrent, à son avis et selon son expérience, la garantie d’une exécution optimale des ordres au niveau tarifaire, quantitatif et qualitatif. Le montant de la fortune du client et son rapport au volume global de la fortune gérée par la </w:t>
      </w:r>
      <w:r w:rsidRPr="00C14D35">
        <w:rPr>
          <w:rFonts w:asciiTheme="majorHAnsi" w:hAnsiTheme="majorHAnsi"/>
          <w:smallCaps/>
          <w:lang w:val="fr-CH"/>
        </w:rPr>
        <w:t>société</w:t>
      </w:r>
      <w:r w:rsidRPr="00C14D35">
        <w:rPr>
          <w:rFonts w:asciiTheme="majorHAnsi" w:hAnsiTheme="majorHAnsi"/>
          <w:lang w:val="fr-CH"/>
        </w:rPr>
        <w:t xml:space="preserve"> entrent également en ligne de compte.</w:t>
      </w:r>
      <w:r w:rsidR="00B91131" w:rsidRPr="00B91131">
        <w:rPr>
          <w:lang w:val="fr-CH"/>
        </w:rPr>
        <w:t xml:space="preserve"> </w:t>
      </w:r>
    </w:p>
    <w:p w14:paraId="76CEEB89" w14:textId="2DD43CF4" w:rsidR="00231C7D" w:rsidRPr="00C14D35" w:rsidRDefault="00B91131" w:rsidP="00231C7D">
      <w:pPr>
        <w:jc w:val="both"/>
        <w:rPr>
          <w:rFonts w:asciiTheme="majorHAnsi" w:hAnsiTheme="majorHAnsi"/>
          <w:lang w:val="fr-CH"/>
        </w:rPr>
      </w:pPr>
      <w:r w:rsidRPr="00B91131">
        <w:rPr>
          <w:rFonts w:asciiTheme="majorHAnsi" w:hAnsiTheme="majorHAnsi"/>
          <w:lang w:val="fr-CH"/>
        </w:rPr>
        <w:t>La société collabore avec des fournisseurs tiers dans le cadre de l'émission d'autres produits financiers (notamment des obligations structurées et des certificats gérés). Nous recommandons également des produits financiers correspondants à des clients et les utilisons dans le cadre de la gestion de fortune discrétionnaire.</w:t>
      </w:r>
    </w:p>
    <w:p w14:paraId="4D99DBA8" w14:textId="77777777" w:rsidR="00231C7D" w:rsidRPr="00C14D35" w:rsidRDefault="00231C7D" w:rsidP="00231C7D">
      <w:pPr>
        <w:pStyle w:val="berschrift2"/>
        <w:ind w:left="567"/>
        <w:rPr>
          <w:lang w:val="fr-CH"/>
        </w:rPr>
      </w:pPr>
      <w:bookmarkStart w:id="8" w:name="_Toc75440048"/>
      <w:r w:rsidRPr="00C14D35">
        <w:rPr>
          <w:lang w:val="fr-CH"/>
        </w:rPr>
        <w:t>Stratégies de placement et univers de placement utilisé</w:t>
      </w:r>
      <w:bookmarkEnd w:id="8"/>
    </w:p>
    <w:p w14:paraId="228CA010"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propose à ses clients des stratégies standard axées sur leurs objectifs de placement ou convient avec eux de stratégies individuelles. Nous nous efforçons d’adopter des stratégies de placement adaptées aux connaissances et aux expériences des clients en matière de placement. Dans le cadre des mandats de gestion de fortune discrétionnaires, nous nous réservons cependant le droit d’utiliser également des produits financiers qui ne correspondent pas aux connaissances et à l’expérience du client, sans pour autant expliquer séparément à ce dernier les propriétés et les risques de ces produits dans le détail. Si le client souhaite suivre une stratégie de placement qui ne correspond pas à ses connaissances, à son expérience ou à sa capacité à supporter les risques, nous l’avertissons en conséquence. </w:t>
      </w:r>
    </w:p>
    <w:p w14:paraId="07E54C19"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Nous conseillons généralement les clients qui ne souhaitent pas une gestion de fortune discrétionnaire mais un conseil en placements dans le contexte d’un portefeuille, sur lequel s’oriente notre conseil. Ce faisant, nous tenons compte des objectifs de placement du client, de ses connaissances et de son expérience, ainsi que de sa capacité à prendre et à supporter les risques. Conformément aux dispositions légales, nous informons nos clients de conseil des propriétés et des risques que présentent les produits financiers que nous recommandons. </w:t>
      </w:r>
    </w:p>
    <w:p w14:paraId="02A51D19"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L’univers de placement utilisé par la </w:t>
      </w:r>
      <w:r w:rsidRPr="00C14D35">
        <w:rPr>
          <w:rFonts w:asciiTheme="majorHAnsi" w:hAnsiTheme="majorHAnsi"/>
          <w:smallCaps/>
          <w:lang w:val="fr-CH"/>
        </w:rPr>
        <w:t>Société</w:t>
      </w:r>
      <w:r w:rsidRPr="00C14D35">
        <w:rPr>
          <w:rFonts w:asciiTheme="majorHAnsi" w:hAnsiTheme="majorHAnsi"/>
          <w:lang w:val="fr-CH"/>
        </w:rPr>
        <w:t xml:space="preserve"> reste volontairement bien délimité. Afin de permettre à nos clients une diversification adaptée des opportunités et des risques de placement, nous utilisons de manière prépondérante des placements collectifs de capitaux, des certificats sous gestion active ainsi que des obligations structurées. Nous avons recours aux placements dans des titres individuels (tels que des actions) afin de poser des accents dans les portefeuilles en vue d’optimiser les rendements. Nous intégrons des produits dérivés et des opérations à terme de manière ciblée dans les portefeuilles globaux afin d’atteindre une efficacité optimale des coûts. </w:t>
      </w:r>
    </w:p>
    <w:p w14:paraId="1359FC89" w14:textId="77777777" w:rsidR="00231C7D" w:rsidRPr="00C14D35" w:rsidRDefault="00231C7D" w:rsidP="00231C7D">
      <w:pPr>
        <w:pStyle w:val="berschrift2"/>
        <w:ind w:left="567"/>
        <w:rPr>
          <w:b w:val="0"/>
          <w:lang w:val="fr-CH"/>
        </w:rPr>
      </w:pPr>
      <w:bookmarkStart w:id="9" w:name="_Toc75440049"/>
      <w:r w:rsidRPr="00C14D35">
        <w:rPr>
          <w:lang w:val="fr-CH"/>
        </w:rPr>
        <w:lastRenderedPageBreak/>
        <w:t>Informations concernant la nature et l’ampleur de la sensibilisation aux risques</w:t>
      </w:r>
      <w:bookmarkEnd w:id="9"/>
    </w:p>
    <w:p w14:paraId="7E39CCF0"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informe spontanément le client des risques spécifiques liés à l’achat, à la vente et à la détention de produits financiers. La </w:t>
      </w:r>
      <w:r w:rsidRPr="00C14D35">
        <w:rPr>
          <w:rFonts w:asciiTheme="majorHAnsi" w:hAnsiTheme="majorHAnsi"/>
          <w:smallCaps/>
          <w:lang w:val="fr-CH"/>
        </w:rPr>
        <w:t>société</w:t>
      </w:r>
      <w:r w:rsidRPr="00C14D35">
        <w:rPr>
          <w:rFonts w:asciiTheme="majorHAnsi" w:hAnsiTheme="majorHAnsi"/>
          <w:lang w:val="fr-CH"/>
        </w:rPr>
        <w:t xml:space="preserve"> utilise pour ce faire la brochure intitulée</w:t>
      </w:r>
      <w:proofErr w:type="gramStart"/>
      <w:r w:rsidRPr="00C14D35">
        <w:rPr>
          <w:rFonts w:asciiTheme="majorHAnsi" w:hAnsiTheme="majorHAnsi"/>
          <w:lang w:val="fr-CH"/>
        </w:rPr>
        <w:t xml:space="preserve"> </w:t>
      </w:r>
      <w:r w:rsidRPr="00C14D35">
        <w:rPr>
          <w:rFonts w:asciiTheme="majorHAnsi" w:hAnsiTheme="majorHAnsi"/>
          <w:i/>
          <w:lang w:val="fr-CH"/>
        </w:rPr>
        <w:t>«Risques</w:t>
      </w:r>
      <w:proofErr w:type="gramEnd"/>
      <w:r w:rsidRPr="00C14D35">
        <w:rPr>
          <w:rFonts w:asciiTheme="majorHAnsi" w:hAnsiTheme="majorHAnsi"/>
          <w:i/>
          <w:lang w:val="fr-CH"/>
        </w:rPr>
        <w:t xml:space="preserve"> inhérents au commerce d’instruments financiers»</w:t>
      </w:r>
      <w:r w:rsidRPr="00C14D35">
        <w:rPr>
          <w:rFonts w:asciiTheme="majorHAnsi" w:hAnsiTheme="majorHAnsi"/>
          <w:lang w:val="fr-CH"/>
        </w:rPr>
        <w:t xml:space="preserve"> de l’Association suisse des banquiers. Lors de la conclusion du contrat, nous prions nos clients de confirmer qu’ils ont bien reçu, lu et compris cette brochure. Si le client ne comprend pas les informations que renferme cette brochure, nous attendons de lui qu’il nous demande expressément de plus amples informations ou des explications.</w:t>
      </w:r>
    </w:p>
    <w:p w14:paraId="0A781ABD" w14:textId="1081FCF2" w:rsidR="00231C7D" w:rsidRPr="00C14D35" w:rsidRDefault="00231C7D" w:rsidP="00231C7D">
      <w:pPr>
        <w:jc w:val="both"/>
        <w:rPr>
          <w:rFonts w:asciiTheme="majorHAnsi" w:hAnsiTheme="majorHAnsi" w:cstheme="minorHAnsi"/>
          <w:iCs/>
          <w:lang w:val="fr-CH"/>
        </w:rPr>
      </w:pPr>
      <w:r w:rsidRPr="00C14D35">
        <w:rPr>
          <w:rFonts w:asciiTheme="majorHAnsi" w:hAnsiTheme="majorHAnsi"/>
          <w:lang w:val="fr-CH"/>
        </w:rPr>
        <w:t xml:space="preserve">Si le client convient avec la </w:t>
      </w:r>
      <w:r w:rsidR="008B3E94" w:rsidRPr="00C14D35">
        <w:rPr>
          <w:rFonts w:asciiTheme="majorHAnsi" w:hAnsiTheme="majorHAnsi"/>
          <w:smallCaps/>
          <w:lang w:val="fr-CH"/>
        </w:rPr>
        <w:t>société</w:t>
      </w:r>
      <w:r w:rsidRPr="00C14D35">
        <w:rPr>
          <w:rFonts w:asciiTheme="majorHAnsi" w:hAnsiTheme="majorHAnsi"/>
          <w:lang w:val="fr-CH"/>
        </w:rPr>
        <w:t xml:space="preserve"> d’une gestion discrétionnaire de fortune, la </w:t>
      </w:r>
      <w:r w:rsidR="008B3E94" w:rsidRPr="00C14D35">
        <w:rPr>
          <w:rFonts w:asciiTheme="majorHAnsi" w:hAnsiTheme="majorHAnsi"/>
          <w:smallCaps/>
          <w:lang w:val="fr-CH"/>
        </w:rPr>
        <w:t>société</w:t>
      </w:r>
      <w:r w:rsidRPr="00C14D35">
        <w:rPr>
          <w:rFonts w:asciiTheme="majorHAnsi" w:hAnsiTheme="majorHAnsi"/>
          <w:lang w:val="fr-CH"/>
        </w:rPr>
        <w:t xml:space="preserve"> effectuera les placements dans l’optique des objectifs de placement communiqués par le client et dans le cadre de la stratégie de placement qui aura été fixée avec lui, de manière autonome et sans l’approbation du client au cas par cas. La </w:t>
      </w:r>
      <w:r w:rsidR="008B3E94" w:rsidRPr="00C14D35">
        <w:rPr>
          <w:rFonts w:asciiTheme="majorHAnsi" w:hAnsiTheme="majorHAnsi"/>
          <w:smallCaps/>
          <w:lang w:val="fr-CH"/>
        </w:rPr>
        <w:t>société</w:t>
      </w:r>
      <w:r w:rsidRPr="00C14D35">
        <w:rPr>
          <w:rFonts w:asciiTheme="majorHAnsi" w:hAnsiTheme="majorHAnsi"/>
          <w:lang w:val="fr-CH"/>
        </w:rPr>
        <w:t xml:space="preserve"> s’appuie pour cela sur l’horizon de placement du client. Pour les horizons de placement de plusieurs années, la </w:t>
      </w:r>
      <w:r w:rsidR="008B3E94" w:rsidRPr="00C14D35">
        <w:rPr>
          <w:rFonts w:asciiTheme="majorHAnsi" w:hAnsiTheme="majorHAnsi"/>
          <w:smallCaps/>
          <w:lang w:val="fr-CH"/>
        </w:rPr>
        <w:t>société</w:t>
      </w:r>
      <w:r w:rsidRPr="00C14D35">
        <w:rPr>
          <w:rFonts w:asciiTheme="majorHAnsi" w:hAnsiTheme="majorHAnsi"/>
          <w:lang w:val="fr-CH"/>
        </w:rPr>
        <w:t xml:space="preserve"> investira également dans des instruments financiers axés sur le plus long terme, et qui ne peuvent donc parfois pas être immédiatement vendus ou repris à des prix conformes au marché (à savoir pas en bourse). Dans ce contexte, la </w:t>
      </w:r>
      <w:r w:rsidR="008B3E94" w:rsidRPr="00C14D35">
        <w:rPr>
          <w:rFonts w:asciiTheme="majorHAnsi" w:hAnsiTheme="majorHAnsi"/>
          <w:smallCaps/>
          <w:lang w:val="fr-CH"/>
        </w:rPr>
        <w:t>société</w:t>
      </w:r>
      <w:r w:rsidRPr="00C14D35">
        <w:rPr>
          <w:rFonts w:asciiTheme="majorHAnsi" w:hAnsiTheme="majorHAnsi"/>
          <w:lang w:val="fr-CH"/>
        </w:rPr>
        <w:t xml:space="preserve"> peut également investir dans des instruments financiers qui ne doivent pas être proposés aux clients privés au sens de la loi sur les services financiers, qui ne sont pas négociés en bourse ou qui ne peuvent être résiliés que périodiquement ou à certaines dates. Ceci peut retarder la disponibilité des produits de leur vente. </w:t>
      </w:r>
    </w:p>
    <w:p w14:paraId="3CA66867" w14:textId="310C4C1D"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 client est informé dans le cadre d’un entretien de conseil des autres risques que présentent les stratégies de placement utilisées par la </w:t>
      </w:r>
      <w:r w:rsidR="008B3E94" w:rsidRPr="00C14D35">
        <w:rPr>
          <w:rFonts w:asciiTheme="majorHAnsi" w:hAnsiTheme="majorHAnsi"/>
          <w:smallCaps/>
          <w:lang w:val="fr-CH"/>
        </w:rPr>
        <w:t>société</w:t>
      </w:r>
      <w:r w:rsidRPr="00C14D35">
        <w:rPr>
          <w:rFonts w:asciiTheme="majorHAnsi" w:hAnsiTheme="majorHAnsi"/>
          <w:lang w:val="fr-CH"/>
        </w:rPr>
        <w:t xml:space="preserve"> pour ses clients lors de la gestion discrétionnaire de fortune. </w:t>
      </w:r>
    </w:p>
    <w:p w14:paraId="5700038B"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proposera si possible à ses clients des prestations adaptées à leur situation patrimoniale et à leur capacité à prendre et à supporter des risques. Ceci présuppose d’avoir connaissance de la situation patrimoniale du client ainsi que de ses connaissances et de </w:t>
      </w:r>
      <w:proofErr w:type="gramStart"/>
      <w:r w:rsidRPr="00C14D35">
        <w:rPr>
          <w:rFonts w:asciiTheme="majorHAnsi" w:hAnsiTheme="majorHAnsi"/>
          <w:lang w:val="fr-CH"/>
        </w:rPr>
        <w:t>son expérience financières</w:t>
      </w:r>
      <w:proofErr w:type="gramEnd"/>
      <w:r w:rsidRPr="00C14D35">
        <w:rPr>
          <w:rFonts w:asciiTheme="majorHAnsi" w:hAnsiTheme="majorHAnsi"/>
          <w:lang w:val="fr-CH"/>
        </w:rPr>
        <w:t xml:space="preserve">. Si un client ne fournit pas d’informations à ce sujet, ou si elles sont incomplètes ou erronées, la </w:t>
      </w:r>
      <w:r w:rsidRPr="00C14D35">
        <w:rPr>
          <w:rFonts w:asciiTheme="majorHAnsi" w:hAnsiTheme="majorHAnsi"/>
          <w:smallCaps/>
          <w:lang w:val="fr-CH"/>
        </w:rPr>
        <w:t>société</w:t>
      </w:r>
      <w:r w:rsidRPr="00C14D35">
        <w:rPr>
          <w:rFonts w:asciiTheme="majorHAnsi" w:hAnsiTheme="majorHAnsi"/>
          <w:lang w:val="fr-CH"/>
        </w:rPr>
        <w:t xml:space="preserve"> n’est pas en mesure d’assurer que les stratégies et placements individuels recommandés et mis en œuvre seront adaptés à la situation globale du client. Des risques différents ou des concentrations de risques peuvent survenir, notamment en ce qui concerne les placements unilatéraux, les mix globaux d’investissements inadaptés, etc. Ces risques ne sont pas perceptibles, pas gérables et pas contrôlables pour la </w:t>
      </w:r>
      <w:r w:rsidRPr="00C14D35">
        <w:rPr>
          <w:rFonts w:asciiTheme="majorHAnsi" w:hAnsiTheme="majorHAnsi"/>
          <w:smallCaps/>
          <w:lang w:val="fr-CH"/>
        </w:rPr>
        <w:t>société</w:t>
      </w:r>
      <w:r w:rsidRPr="00C14D35">
        <w:rPr>
          <w:rFonts w:asciiTheme="majorHAnsi" w:hAnsiTheme="majorHAnsi"/>
          <w:lang w:val="fr-CH"/>
        </w:rPr>
        <w:t xml:space="preserve"> en raison du manque d’information. Nous attendons de nos clients qu’ils nous contactent en cas de changement majeur de leur situation financière afin de nous permettre de vérifier de manière appropriée si les stratégies et placements individuels convenus restent adaptés. </w:t>
      </w:r>
    </w:p>
    <w:p w14:paraId="3694DA51" w14:textId="44146B9C" w:rsidR="00231C7D" w:rsidRPr="00C14D35" w:rsidRDefault="00231C7D" w:rsidP="00231C7D">
      <w:pPr>
        <w:pStyle w:val="berschrift2"/>
        <w:ind w:left="567"/>
        <w:rPr>
          <w:b w:val="0"/>
          <w:sz w:val="18"/>
          <w:szCs w:val="18"/>
          <w:lang w:val="fr-CH"/>
        </w:rPr>
      </w:pPr>
      <w:bookmarkStart w:id="10" w:name="_Toc75440050"/>
      <w:r w:rsidRPr="00C14D35">
        <w:rPr>
          <w:lang w:val="fr-CH"/>
        </w:rPr>
        <w:t xml:space="preserve">Honoraires et rémunération de la </w:t>
      </w:r>
      <w:r w:rsidR="00E2729B">
        <w:rPr>
          <w:lang w:val="fr-CH"/>
        </w:rPr>
        <w:t>société</w:t>
      </w:r>
      <w:bookmarkEnd w:id="10"/>
      <w:r w:rsidRPr="00C14D35">
        <w:rPr>
          <w:lang w:val="fr-CH"/>
        </w:rPr>
        <w:t xml:space="preserve"> </w:t>
      </w:r>
    </w:p>
    <w:p w14:paraId="078821B5" w14:textId="20CFA8BB"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s’efforce de proposer un bon rapport coûts/prestations au client. Ce faisant, elle considère notamment le coût global de la gestion de fortune pour le client. Le prix de nombreux produits financiers et prestations correspondant aux normes de qualité de la </w:t>
      </w:r>
      <w:r w:rsidRPr="00C14D35">
        <w:rPr>
          <w:rFonts w:asciiTheme="majorHAnsi" w:hAnsiTheme="majorHAnsi"/>
          <w:smallCaps/>
          <w:lang w:val="fr-CH"/>
        </w:rPr>
        <w:t>société</w:t>
      </w:r>
      <w:r w:rsidRPr="00C14D35">
        <w:rPr>
          <w:rFonts w:asciiTheme="majorHAnsi" w:hAnsiTheme="majorHAnsi"/>
          <w:lang w:val="fr-CH"/>
        </w:rPr>
        <w:t xml:space="preserve"> incluant des frais de commercialisation, la </w:t>
      </w:r>
      <w:r w:rsidRPr="00C14D35">
        <w:rPr>
          <w:rFonts w:asciiTheme="majorHAnsi" w:hAnsiTheme="majorHAnsi"/>
          <w:smallCaps/>
          <w:lang w:val="fr-CH"/>
        </w:rPr>
        <w:t>société</w:t>
      </w:r>
      <w:r w:rsidRPr="00C14D35">
        <w:rPr>
          <w:rFonts w:asciiTheme="majorHAnsi" w:hAnsiTheme="majorHAnsi"/>
          <w:lang w:val="fr-CH"/>
        </w:rPr>
        <w:t xml:space="preserve"> essaie de percevoir une partie de ces frais de commercialisation. Ces revenus entrent dans le compte de résultat général de la </w:t>
      </w:r>
      <w:r w:rsidRPr="00C14D35">
        <w:rPr>
          <w:rFonts w:asciiTheme="majorHAnsi" w:hAnsiTheme="majorHAnsi"/>
          <w:smallCaps/>
          <w:lang w:val="fr-CH"/>
        </w:rPr>
        <w:t>société</w:t>
      </w:r>
      <w:r w:rsidRPr="00C14D35">
        <w:rPr>
          <w:rFonts w:asciiTheme="majorHAnsi" w:hAnsiTheme="majorHAnsi"/>
          <w:lang w:val="fr-CH"/>
        </w:rPr>
        <w:t xml:space="preserve"> et </w:t>
      </w:r>
      <w:r w:rsidRPr="00C14D35">
        <w:rPr>
          <w:rFonts w:asciiTheme="majorHAnsi" w:hAnsiTheme="majorHAnsi"/>
          <w:lang w:val="fr-CH"/>
        </w:rPr>
        <w:lastRenderedPageBreak/>
        <w:t xml:space="preserve">reviennent au client dans le cas où il a opté pour la variante contractuelle où la </w:t>
      </w:r>
      <w:r w:rsidR="008B3E94" w:rsidRPr="00C14D35">
        <w:rPr>
          <w:rFonts w:asciiTheme="majorHAnsi" w:hAnsiTheme="majorHAnsi"/>
          <w:smallCaps/>
          <w:lang w:val="fr-CH"/>
        </w:rPr>
        <w:t>société</w:t>
      </w:r>
      <w:r w:rsidRPr="00C14D35">
        <w:rPr>
          <w:rFonts w:asciiTheme="majorHAnsi" w:hAnsiTheme="majorHAnsi"/>
          <w:lang w:val="fr-CH"/>
        </w:rPr>
        <w:t xml:space="preserve"> est autorisée à percevoir les rémunérations de tiers mentionnées, mais via des frais de gestion de fortune proportionnellement réduits. La rémunération des collaborateurs n’est pas directement liée aux gratifications de tiers. Les indemnisations de banques, de sociétés de fonds de placement et d’émetteurs servent à couvrir les coûts d’exploitation, ce qui permet d’améliorer la qualité des prestations.</w:t>
      </w:r>
    </w:p>
    <w:p w14:paraId="0C81CCC9"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honoraires que la </w:t>
      </w:r>
      <w:r w:rsidRPr="00C14D35">
        <w:rPr>
          <w:rFonts w:asciiTheme="majorHAnsi" w:hAnsiTheme="majorHAnsi"/>
          <w:smallCaps/>
          <w:lang w:val="fr-CH"/>
        </w:rPr>
        <w:t>société</w:t>
      </w:r>
      <w:r w:rsidRPr="00C14D35">
        <w:rPr>
          <w:rFonts w:asciiTheme="majorHAnsi" w:hAnsiTheme="majorHAnsi"/>
          <w:lang w:val="fr-CH"/>
        </w:rPr>
        <w:t xml:space="preserve"> perçoit pour ses prestations se composent des honoraires de gestion payés par ses clients et peuvent également comprendre des indemnités de banques, de sociétés de fonds de placement et d’émetteurs </w:t>
      </w:r>
      <w:proofErr w:type="gramStart"/>
      <w:r w:rsidRPr="00C14D35">
        <w:rPr>
          <w:rFonts w:asciiTheme="majorHAnsi" w:hAnsiTheme="majorHAnsi"/>
          <w:lang w:val="fr-CH"/>
        </w:rPr>
        <w:t>(«indemnités</w:t>
      </w:r>
      <w:proofErr w:type="gramEnd"/>
      <w:r w:rsidRPr="00C14D35">
        <w:rPr>
          <w:rFonts w:asciiTheme="majorHAnsi" w:hAnsiTheme="majorHAnsi"/>
          <w:lang w:val="fr-CH"/>
        </w:rPr>
        <w:t xml:space="preserve"> de tiers»). </w:t>
      </w:r>
    </w:p>
    <w:p w14:paraId="6A99FF0D"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honoraires facturés au client sont en général calculés en pourcentage de l’avoir sous gestion pour la gestion discrétionnaire de fortune comme pour le conseil en placement en ce qui concerne les portefeuilles. </w:t>
      </w:r>
    </w:p>
    <w:p w14:paraId="30DA933B"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 contrat de gestion de fortune ou de conseil en placement individuel avec un client régit si les indemnités de tiers doivent revenir à la </w:t>
      </w:r>
      <w:r w:rsidRPr="00C14D35">
        <w:rPr>
          <w:rFonts w:asciiTheme="majorHAnsi" w:hAnsiTheme="majorHAnsi"/>
          <w:smallCaps/>
          <w:lang w:val="fr-CH"/>
        </w:rPr>
        <w:t>société</w:t>
      </w:r>
      <w:r w:rsidRPr="00C14D35">
        <w:rPr>
          <w:rFonts w:asciiTheme="majorHAnsi" w:hAnsiTheme="majorHAnsi"/>
          <w:lang w:val="fr-CH"/>
        </w:rPr>
        <w:t xml:space="preserve"> ou si celle-ci doit les reverser aux clients. </w:t>
      </w:r>
    </w:p>
    <w:p w14:paraId="4C4EFB6D"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indemnités de tiers peuvent être très variables, en fonction de la banque dépositaire du client et des placements réalisés. À la demande du client, nous ne recommandons que des banques dépositaires et des produits financiers ou ne réalisons que des placements ne générant pas d’indemnités de tiers. </w:t>
      </w:r>
    </w:p>
    <w:p w14:paraId="0D1058E5"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indemnités de distribution de tiers peuvent se présenter comme </w:t>
      </w:r>
      <w:proofErr w:type="gramStart"/>
      <w:r w:rsidRPr="00C14D35">
        <w:rPr>
          <w:rFonts w:asciiTheme="majorHAnsi" w:hAnsiTheme="majorHAnsi"/>
          <w:lang w:val="fr-CH"/>
        </w:rPr>
        <w:t>suit:</w:t>
      </w:r>
      <w:proofErr w:type="gramEnd"/>
    </w:p>
    <w:p w14:paraId="472F09EE" w14:textId="77777777" w:rsidR="00231C7D" w:rsidRPr="00C14D35" w:rsidRDefault="00231C7D" w:rsidP="00231C7D">
      <w:pPr>
        <w:tabs>
          <w:tab w:val="left" w:pos="7088"/>
        </w:tabs>
        <w:spacing w:after="0"/>
        <w:jc w:val="both"/>
        <w:rPr>
          <w:rFonts w:asciiTheme="majorHAnsi" w:hAnsiTheme="majorHAnsi"/>
          <w:lang w:val="fr-CH"/>
        </w:rPr>
      </w:pPr>
      <w:proofErr w:type="gramStart"/>
      <w:r w:rsidRPr="00C14D35">
        <w:rPr>
          <w:rFonts w:asciiTheme="majorHAnsi" w:hAnsiTheme="majorHAnsi"/>
          <w:lang w:val="fr-CH"/>
        </w:rPr>
        <w:t>sur</w:t>
      </w:r>
      <w:proofErr w:type="gramEnd"/>
      <w:r w:rsidRPr="00C14D35">
        <w:rPr>
          <w:rFonts w:asciiTheme="majorHAnsi" w:hAnsiTheme="majorHAnsi"/>
          <w:lang w:val="fr-CH"/>
        </w:rPr>
        <w:t xml:space="preserve"> les frais de dépôt facturés au client par la banque:</w:t>
      </w:r>
      <w:r w:rsidRPr="00C14D35">
        <w:rPr>
          <w:rFonts w:asciiTheme="majorHAnsi" w:hAnsiTheme="majorHAnsi"/>
          <w:lang w:val="fr-CH"/>
        </w:rPr>
        <w:tab/>
        <w:t>de 0% à 25%;</w:t>
      </w:r>
    </w:p>
    <w:p w14:paraId="729CC6E6" w14:textId="77777777" w:rsidR="00231C7D" w:rsidRPr="00C14D35" w:rsidRDefault="00231C7D" w:rsidP="00231C7D">
      <w:pPr>
        <w:tabs>
          <w:tab w:val="left" w:pos="7088"/>
        </w:tabs>
        <w:spacing w:after="0"/>
        <w:jc w:val="both"/>
        <w:rPr>
          <w:rFonts w:asciiTheme="majorHAnsi" w:hAnsiTheme="majorHAnsi"/>
          <w:lang w:val="fr-CH"/>
        </w:rPr>
      </w:pPr>
      <w:proofErr w:type="gramStart"/>
      <w:r w:rsidRPr="00C14D35">
        <w:rPr>
          <w:rFonts w:asciiTheme="majorHAnsi" w:hAnsiTheme="majorHAnsi"/>
          <w:lang w:val="fr-CH"/>
        </w:rPr>
        <w:t>sur</w:t>
      </w:r>
      <w:proofErr w:type="gramEnd"/>
      <w:r w:rsidRPr="00C14D35">
        <w:rPr>
          <w:rFonts w:asciiTheme="majorHAnsi" w:hAnsiTheme="majorHAnsi"/>
          <w:lang w:val="fr-CH"/>
        </w:rPr>
        <w:t xml:space="preserve"> les courtages facturés au client par la banque:</w:t>
      </w:r>
      <w:r w:rsidRPr="00C14D35">
        <w:rPr>
          <w:rFonts w:asciiTheme="majorHAnsi" w:hAnsiTheme="majorHAnsi"/>
          <w:lang w:val="fr-CH"/>
        </w:rPr>
        <w:tab/>
        <w:t>de 0% à 50%.</w:t>
      </w:r>
    </w:p>
    <w:p w14:paraId="038764C9" w14:textId="1D3551CB" w:rsidR="00231C7D" w:rsidRPr="00C14D35" w:rsidRDefault="00BD508D" w:rsidP="00231C7D">
      <w:pPr>
        <w:spacing w:after="0"/>
        <w:rPr>
          <w:rFonts w:asciiTheme="majorHAnsi" w:hAnsiTheme="majorHAnsi"/>
          <w:lang w:val="fr-CH"/>
        </w:rPr>
      </w:pPr>
      <w:r>
        <w:rPr>
          <w:rFonts w:asciiTheme="majorHAnsi" w:hAnsiTheme="majorHAnsi"/>
          <w:lang w:val="fr-CH"/>
        </w:rPr>
        <w:t>D</w:t>
      </w:r>
      <w:r w:rsidR="00231C7D" w:rsidRPr="00C14D35">
        <w:rPr>
          <w:rFonts w:asciiTheme="majorHAnsi" w:hAnsiTheme="majorHAnsi"/>
          <w:lang w:val="fr-CH"/>
        </w:rPr>
        <w:t xml:space="preserve">ans certaines circonstances, la </w:t>
      </w:r>
      <w:r w:rsidR="00231C7D" w:rsidRPr="00C14D35">
        <w:rPr>
          <w:rFonts w:asciiTheme="majorHAnsi" w:hAnsiTheme="majorHAnsi"/>
          <w:smallCaps/>
          <w:lang w:val="fr-CH"/>
        </w:rPr>
        <w:t>société</w:t>
      </w:r>
      <w:r w:rsidR="00231C7D" w:rsidRPr="00C14D35">
        <w:rPr>
          <w:rFonts w:asciiTheme="majorHAnsi" w:hAnsiTheme="majorHAnsi"/>
          <w:lang w:val="fr-CH"/>
        </w:rPr>
        <w:t xml:space="preserve"> reçoit de la part de directions de fonds de placement une indemnité évoluant entre 0% et 0,5%</w:t>
      </w:r>
      <w:r>
        <w:rPr>
          <w:rFonts w:asciiTheme="majorHAnsi" w:hAnsiTheme="majorHAnsi"/>
          <w:lang w:val="fr-CH"/>
        </w:rPr>
        <w:t xml:space="preserve"> </w:t>
      </w:r>
      <w:r w:rsidR="00231C7D" w:rsidRPr="00C14D35">
        <w:rPr>
          <w:rFonts w:asciiTheme="majorHAnsi" w:hAnsiTheme="majorHAnsi"/>
          <w:lang w:val="fr-CH"/>
        </w:rPr>
        <w:t xml:space="preserve">de la fortune investie. </w:t>
      </w:r>
    </w:p>
    <w:p w14:paraId="7C3236FA" w14:textId="6CD3D022" w:rsidR="00231C7D" w:rsidRPr="00C14D35" w:rsidRDefault="00231C7D" w:rsidP="00231C7D">
      <w:pPr>
        <w:spacing w:after="0"/>
        <w:jc w:val="both"/>
        <w:rPr>
          <w:rFonts w:asciiTheme="majorHAnsi" w:hAnsiTheme="majorHAnsi"/>
          <w:lang w:val="fr-CH"/>
        </w:rPr>
      </w:pPr>
      <w:r w:rsidRPr="00C14D35">
        <w:rPr>
          <w:rFonts w:asciiTheme="majorHAnsi" w:hAnsiTheme="majorHAnsi"/>
          <w:lang w:val="fr-CH"/>
        </w:rPr>
        <w:t xml:space="preserve">Si la </w:t>
      </w:r>
      <w:r w:rsidR="0040562F" w:rsidRPr="00C14D35">
        <w:rPr>
          <w:rFonts w:asciiTheme="majorHAnsi" w:hAnsiTheme="majorHAnsi"/>
          <w:smallCaps/>
          <w:lang w:val="fr-CH"/>
        </w:rPr>
        <w:t>société</w:t>
      </w:r>
      <w:r w:rsidRPr="00C14D35">
        <w:rPr>
          <w:rFonts w:asciiTheme="majorHAnsi" w:hAnsiTheme="majorHAnsi"/>
          <w:lang w:val="fr-CH"/>
        </w:rPr>
        <w:t xml:space="preserve"> souscrit des parts de placements collectifs de capitaux pour le client, les majorations appliquées au montant de départ peuvent donner lieu au remboursement à la </w:t>
      </w:r>
      <w:r w:rsidRPr="00C14D35">
        <w:rPr>
          <w:rFonts w:asciiTheme="majorHAnsi" w:hAnsiTheme="majorHAnsi"/>
          <w:smallCaps/>
          <w:lang w:val="fr-CH"/>
        </w:rPr>
        <w:t>société</w:t>
      </w:r>
      <w:r w:rsidRPr="00C14D35">
        <w:rPr>
          <w:rFonts w:asciiTheme="majorHAnsi" w:hAnsiTheme="majorHAnsi"/>
          <w:lang w:val="fr-CH"/>
        </w:rPr>
        <w:t xml:space="preserve"> de jusqu’à 3% du volume investi. </w:t>
      </w:r>
    </w:p>
    <w:p w14:paraId="2D740B5C" w14:textId="77777777" w:rsidR="00231C7D" w:rsidRPr="00C14D35" w:rsidRDefault="00231C7D" w:rsidP="00231C7D">
      <w:pPr>
        <w:spacing w:after="0"/>
        <w:jc w:val="both"/>
        <w:rPr>
          <w:rFonts w:asciiTheme="majorHAnsi" w:hAnsiTheme="majorHAnsi"/>
          <w:lang w:val="fr-CH"/>
        </w:rPr>
      </w:pPr>
      <w:r w:rsidRPr="00C14D35">
        <w:rPr>
          <w:rFonts w:asciiTheme="majorHAnsi" w:hAnsiTheme="majorHAnsi"/>
          <w:lang w:val="fr-CH"/>
        </w:rPr>
        <w:t>Pour les placements en certificats et en obligations structurées, jusqu’à 3% du volume investi peuvent échoir comme frais de placement.</w:t>
      </w:r>
    </w:p>
    <w:p w14:paraId="57E489AF" w14:textId="77777777" w:rsidR="00231C7D" w:rsidRPr="00C14D35" w:rsidRDefault="00231C7D" w:rsidP="00231C7D">
      <w:pPr>
        <w:spacing w:after="0"/>
        <w:jc w:val="both"/>
        <w:rPr>
          <w:rFonts w:asciiTheme="majorHAnsi" w:hAnsiTheme="majorHAnsi"/>
          <w:lang w:val="fr-CH"/>
        </w:rPr>
      </w:pPr>
      <w:r w:rsidRPr="00C14D35">
        <w:rPr>
          <w:rFonts w:asciiTheme="majorHAnsi" w:hAnsiTheme="majorHAnsi"/>
          <w:lang w:val="fr-CH"/>
        </w:rPr>
        <w:t xml:space="preserve">Sur les transactions en devises, les banques peuvent verser jusqu’à 50% de leur marge commerciale, qui dépend du volume et de la monnaie, à la </w:t>
      </w:r>
      <w:r w:rsidRPr="00C14D35">
        <w:rPr>
          <w:rFonts w:asciiTheme="majorHAnsi" w:hAnsiTheme="majorHAnsi"/>
          <w:smallCaps/>
          <w:lang w:val="fr-CH"/>
        </w:rPr>
        <w:t>société</w:t>
      </w:r>
      <w:r w:rsidRPr="00C14D35">
        <w:rPr>
          <w:rFonts w:asciiTheme="majorHAnsi" w:hAnsiTheme="majorHAnsi"/>
          <w:lang w:val="fr-CH"/>
        </w:rPr>
        <w:t xml:space="preserve">. </w:t>
      </w:r>
    </w:p>
    <w:p w14:paraId="7582E06D" w14:textId="77777777" w:rsidR="00231C7D" w:rsidRPr="00C14D35" w:rsidRDefault="00231C7D" w:rsidP="00231C7D">
      <w:pPr>
        <w:spacing w:after="0"/>
        <w:jc w:val="both"/>
        <w:rPr>
          <w:rFonts w:asciiTheme="majorHAnsi" w:hAnsiTheme="majorHAnsi"/>
          <w:lang w:val="fr-CH"/>
        </w:rPr>
      </w:pPr>
      <w:r w:rsidRPr="00C14D35">
        <w:rPr>
          <w:rFonts w:asciiTheme="majorHAnsi" w:hAnsiTheme="majorHAnsi"/>
          <w:lang w:val="fr-CH"/>
        </w:rPr>
        <w:t xml:space="preserve">Si un client réalise des placements à crédit, les établissements qui octroient le crédit reversent jusqu’à 25% du taux de crédit facturé au client à la </w:t>
      </w:r>
      <w:r w:rsidRPr="00C14D35">
        <w:rPr>
          <w:rFonts w:asciiTheme="majorHAnsi" w:hAnsiTheme="majorHAnsi"/>
          <w:smallCaps/>
          <w:lang w:val="fr-CH"/>
        </w:rPr>
        <w:t>société.</w:t>
      </w:r>
    </w:p>
    <w:p w14:paraId="38E8BE58" w14:textId="38AF7BCD" w:rsidR="00231C7D" w:rsidRPr="00C14D35" w:rsidRDefault="00231C7D" w:rsidP="00231C7D">
      <w:pPr>
        <w:spacing w:before="240" w:after="0"/>
        <w:jc w:val="both"/>
        <w:rPr>
          <w:rFonts w:asciiTheme="majorHAnsi" w:hAnsiTheme="majorHAnsi"/>
          <w:lang w:val="fr-CH"/>
        </w:rPr>
      </w:pPr>
      <w:r w:rsidRPr="00C14D35">
        <w:rPr>
          <w:rFonts w:asciiTheme="majorHAnsi" w:hAnsiTheme="majorHAnsi"/>
          <w:lang w:val="fr-CH"/>
        </w:rPr>
        <w:t xml:space="preserve">Globalement, de telles indemnités peuvent représenter jusqu’à 2% par an de la fortune du client suivie par la </w:t>
      </w:r>
      <w:r w:rsidRPr="00C14D35">
        <w:rPr>
          <w:rFonts w:asciiTheme="majorHAnsi" w:hAnsiTheme="majorHAnsi"/>
          <w:smallCaps/>
          <w:lang w:val="fr-CH"/>
        </w:rPr>
        <w:t>société.</w:t>
      </w:r>
      <w:r w:rsidRPr="00C14D35">
        <w:rPr>
          <w:rFonts w:asciiTheme="majorHAnsi" w:hAnsiTheme="majorHAnsi"/>
          <w:lang w:val="fr-CH"/>
        </w:rPr>
        <w:t xml:space="preserve"> </w:t>
      </w:r>
    </w:p>
    <w:p w14:paraId="53DAFC7A" w14:textId="77777777" w:rsidR="00231C7D" w:rsidRPr="00C14D35" w:rsidRDefault="00231C7D" w:rsidP="00231C7D">
      <w:pPr>
        <w:spacing w:after="0"/>
        <w:jc w:val="both"/>
        <w:rPr>
          <w:rFonts w:asciiTheme="majorHAnsi" w:hAnsiTheme="majorHAnsi"/>
          <w:lang w:val="fr-CH"/>
        </w:rPr>
      </w:pPr>
    </w:p>
    <w:p w14:paraId="1314AB3D"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D’une part, ces indemnités rémunèrent les prestations de la </w:t>
      </w:r>
      <w:r w:rsidRPr="00C14D35">
        <w:rPr>
          <w:rFonts w:asciiTheme="majorHAnsi" w:hAnsiTheme="majorHAnsi"/>
          <w:smallCaps/>
          <w:lang w:val="fr-CH"/>
        </w:rPr>
        <w:t>société</w:t>
      </w:r>
      <w:r w:rsidRPr="00C14D35">
        <w:rPr>
          <w:rFonts w:asciiTheme="majorHAnsi" w:hAnsiTheme="majorHAnsi"/>
          <w:lang w:val="fr-CH"/>
        </w:rPr>
        <w:t xml:space="preserve"> envers les banques, les sociétés de fonds de placement et les émetteurs, notamment dans le domaine réglementaire. D’autre part, elles indemnisent les prestations de distribution de la </w:t>
      </w:r>
      <w:r w:rsidRPr="00C14D35">
        <w:rPr>
          <w:rFonts w:asciiTheme="majorHAnsi" w:hAnsiTheme="majorHAnsi"/>
          <w:smallCaps/>
          <w:lang w:val="fr-CH"/>
        </w:rPr>
        <w:t>société.</w:t>
      </w:r>
      <w:r w:rsidRPr="00C14D35">
        <w:rPr>
          <w:rFonts w:asciiTheme="majorHAnsi" w:hAnsiTheme="majorHAnsi"/>
          <w:lang w:val="fr-CH"/>
        </w:rPr>
        <w:t xml:space="preserve"> On ne distingue pas ces deux domaines. Les banques et les émetteurs mettent également gratuitement à disposition de la </w:t>
      </w:r>
      <w:r w:rsidRPr="00C14D35">
        <w:rPr>
          <w:rFonts w:asciiTheme="majorHAnsi" w:hAnsiTheme="majorHAnsi"/>
          <w:smallCaps/>
          <w:lang w:val="fr-CH"/>
        </w:rPr>
        <w:t>société</w:t>
      </w:r>
      <w:r w:rsidRPr="00C14D35">
        <w:rPr>
          <w:rFonts w:asciiTheme="majorHAnsi" w:hAnsiTheme="majorHAnsi"/>
          <w:lang w:val="fr-CH"/>
        </w:rPr>
        <w:t xml:space="preserve"> des prestations de services et en nature (analyses financières, accès à des systèmes </w:t>
      </w:r>
      <w:r w:rsidRPr="00C14D35">
        <w:rPr>
          <w:rFonts w:asciiTheme="majorHAnsi" w:hAnsiTheme="majorHAnsi"/>
          <w:lang w:val="fr-CH"/>
        </w:rPr>
        <w:lastRenderedPageBreak/>
        <w:t xml:space="preserve">d’information financière, hospitalité occasionnelle notamment). Ces prestations reviennent exclusivement à la </w:t>
      </w:r>
      <w:r w:rsidRPr="00C14D35">
        <w:rPr>
          <w:rFonts w:asciiTheme="majorHAnsi" w:hAnsiTheme="majorHAnsi"/>
          <w:smallCaps/>
          <w:lang w:val="fr-CH"/>
        </w:rPr>
        <w:t>société.</w:t>
      </w:r>
      <w:r w:rsidRPr="00C14D35">
        <w:rPr>
          <w:rFonts w:asciiTheme="majorHAnsi" w:hAnsiTheme="majorHAnsi"/>
          <w:lang w:val="fr-CH"/>
        </w:rPr>
        <w:t xml:space="preserve"> Les clients de la </w:t>
      </w:r>
      <w:r w:rsidRPr="00C14D35">
        <w:rPr>
          <w:rFonts w:asciiTheme="majorHAnsi" w:hAnsiTheme="majorHAnsi"/>
          <w:smallCaps/>
          <w:lang w:val="fr-CH"/>
        </w:rPr>
        <w:t>société</w:t>
      </w:r>
      <w:r w:rsidRPr="00C14D35">
        <w:rPr>
          <w:rFonts w:asciiTheme="majorHAnsi" w:hAnsiTheme="majorHAnsi"/>
          <w:lang w:val="fr-CH"/>
        </w:rPr>
        <w:t xml:space="preserve"> ne peuvent pas demander de ce fait de rabais sur les honoraires convenus et autres prestations.</w:t>
      </w:r>
    </w:p>
    <w:p w14:paraId="1AFA119D" w14:textId="3F2D2883"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Si la </w:t>
      </w:r>
      <w:r w:rsidRPr="00C14D35">
        <w:rPr>
          <w:rFonts w:asciiTheme="majorHAnsi" w:hAnsiTheme="majorHAnsi"/>
          <w:smallCaps/>
          <w:lang w:val="fr-CH"/>
        </w:rPr>
        <w:t>société</w:t>
      </w:r>
      <w:r w:rsidRPr="00C14D35">
        <w:rPr>
          <w:rFonts w:asciiTheme="majorHAnsi" w:hAnsiTheme="majorHAnsi"/>
          <w:lang w:val="fr-CH"/>
        </w:rPr>
        <w:t xml:space="preserve"> ne peut pas prendre elle-même des décisions de placement en se basant sur un mandat de gestion de fortune, elle émet des recommandations personnelles concernant des instruments financiers à la demande du client. Elle remet ce faisant au client les fiches d’information de base établies par l’émetteur ou à sa demande et informe des risques et des coûts liés à l’instrument financier qu’elle recommande (y compris sa propre rémunération). </w:t>
      </w:r>
    </w:p>
    <w:p w14:paraId="06826E55" w14:textId="77777777" w:rsidR="00231C7D" w:rsidRPr="00C14D35" w:rsidRDefault="00231C7D" w:rsidP="00231C7D">
      <w:pPr>
        <w:pStyle w:val="berschrift2"/>
        <w:ind w:left="567"/>
        <w:rPr>
          <w:lang w:val="fr-CH"/>
        </w:rPr>
      </w:pPr>
      <w:bookmarkStart w:id="11" w:name="_Toc75440051"/>
      <w:r w:rsidRPr="00C14D35">
        <w:rPr>
          <w:lang w:val="fr-CH"/>
        </w:rPr>
        <w:t>Exécution optimale des ordres des clients</w:t>
      </w:r>
      <w:bookmarkEnd w:id="11"/>
    </w:p>
    <w:p w14:paraId="54CF727E"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exécute des ordres de clients et pour des clients exclusivement via la banque dépositaire de chacun dans le cadre de la gestion de fortune et de la représentation des clients. Du fait que nous exerçons les activités de placement pour des clients exclusivement sur la base de procurations limitées aux actes de gestion, ceci garantit selon nous une exécution optimale d’un point de vue tarifaire dans les banques dépositaires que nous recommandons. Les sociétés que nous recommandons offrent également la meilleure garantie, aux conditions normales du marché, de probabilité, de rapidité et de sécurité de l’exécution aux meilleures conditions. </w:t>
      </w:r>
    </w:p>
    <w:p w14:paraId="35682DC8"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Si la </w:t>
      </w:r>
      <w:r w:rsidRPr="00C14D35">
        <w:rPr>
          <w:rFonts w:asciiTheme="majorHAnsi" w:hAnsiTheme="majorHAnsi"/>
          <w:smallCaps/>
          <w:lang w:val="fr-CH"/>
        </w:rPr>
        <w:t>société</w:t>
      </w:r>
      <w:r w:rsidRPr="00C14D35">
        <w:rPr>
          <w:rFonts w:asciiTheme="majorHAnsi" w:hAnsiTheme="majorHAnsi"/>
          <w:lang w:val="fr-CH"/>
        </w:rPr>
        <w:t xml:space="preserve"> passe des ordres pour plusieurs clients et auprès de plusieurs banques dépositaires, il est impossible de garantir que les ordres pourront être exécutés aux mêmes conditions pour tous les clients. </w:t>
      </w:r>
    </w:p>
    <w:p w14:paraId="78B11B9B" w14:textId="4277F68B"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Dans certains cas, la </w:t>
      </w:r>
      <w:r w:rsidRPr="00C14D35">
        <w:rPr>
          <w:rFonts w:asciiTheme="majorHAnsi" w:hAnsiTheme="majorHAnsi"/>
          <w:smallCaps/>
          <w:lang w:val="fr-CH"/>
        </w:rPr>
        <w:t>société</w:t>
      </w:r>
      <w:r w:rsidRPr="00C14D35">
        <w:rPr>
          <w:rFonts w:asciiTheme="majorHAnsi" w:hAnsiTheme="majorHAnsi"/>
          <w:lang w:val="fr-CH"/>
        </w:rPr>
        <w:t xml:space="preserve"> souscrit directement des instruments financiers auprès des émetteurs, notamment lorsque cela permet d’éviter des commissions de souscription. </w:t>
      </w:r>
    </w:p>
    <w:p w14:paraId="3D7D143A" w14:textId="77777777" w:rsidR="00231C7D" w:rsidRPr="00C14D35" w:rsidRDefault="00231C7D" w:rsidP="00231C7D">
      <w:pPr>
        <w:pStyle w:val="berschrift2"/>
        <w:ind w:left="567"/>
        <w:rPr>
          <w:lang w:val="fr-CH"/>
        </w:rPr>
      </w:pPr>
      <w:bookmarkStart w:id="12" w:name="_Toc75440052"/>
      <w:r w:rsidRPr="00C14D35">
        <w:rPr>
          <w:lang w:val="fr-CH"/>
        </w:rPr>
        <w:t>Exercice de droits de vote</w:t>
      </w:r>
      <w:bookmarkEnd w:id="12"/>
    </w:p>
    <w:p w14:paraId="027DC5EC" w14:textId="3E5A4F0C"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n’exerce les droits de vote liés aux placements financiers (notamment aux titres de participation tels que les actions) que si ses clients l’ont expressément mandatée dans ce but au cas par cas. La </w:t>
      </w:r>
      <w:r w:rsidRPr="00C14D35">
        <w:rPr>
          <w:rFonts w:asciiTheme="majorHAnsi" w:hAnsiTheme="majorHAnsi"/>
          <w:smallCaps/>
          <w:lang w:val="fr-CH"/>
        </w:rPr>
        <w:t>société</w:t>
      </w:r>
      <w:r w:rsidRPr="00C14D35">
        <w:rPr>
          <w:rFonts w:asciiTheme="majorHAnsi" w:hAnsiTheme="majorHAnsi"/>
          <w:lang w:val="fr-CH"/>
        </w:rPr>
        <w:t xml:space="preserve"> n’informe pas ses clients de la tenue d’événements auxquels ils peuvent exercer leurs droits de vote si ceux-ci n’en font pas la demande. </w:t>
      </w:r>
    </w:p>
    <w:p w14:paraId="2E1EA1D6" w14:textId="77777777" w:rsidR="00231C7D" w:rsidRPr="00C14D35" w:rsidRDefault="00231C7D" w:rsidP="00231C7D">
      <w:pPr>
        <w:pStyle w:val="berschrift2"/>
        <w:ind w:left="567"/>
        <w:rPr>
          <w:lang w:val="fr-CH"/>
        </w:rPr>
      </w:pPr>
      <w:bookmarkStart w:id="13" w:name="_Toc75440053"/>
      <w:r w:rsidRPr="00C14D35">
        <w:rPr>
          <w:lang w:val="fr-CH"/>
        </w:rPr>
        <w:t>Eventuelle obligation de déclarer en cas d’acquisition de participations</w:t>
      </w:r>
      <w:bookmarkEnd w:id="13"/>
    </w:p>
    <w:p w14:paraId="683363F0"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Dans la mesure où la </w:t>
      </w:r>
      <w:r w:rsidRPr="00C14D35">
        <w:rPr>
          <w:rFonts w:asciiTheme="majorHAnsi" w:hAnsiTheme="majorHAnsi"/>
          <w:smallCaps/>
          <w:lang w:val="fr-CH"/>
        </w:rPr>
        <w:t>société</w:t>
      </w:r>
      <w:r w:rsidRPr="00C14D35">
        <w:rPr>
          <w:rFonts w:asciiTheme="majorHAnsi" w:hAnsiTheme="majorHAnsi"/>
          <w:lang w:val="fr-CH"/>
        </w:rPr>
        <w:t xml:space="preserve"> acquiert des participations soumises à déclaration d’entreprises cotées pour l’ensemble des clients qu’elle conseille, dans le cadre de son activité de gestion de fortune, elle procédera aux déclarations prescrites par la loi.</w:t>
      </w:r>
    </w:p>
    <w:p w14:paraId="168DCCD3" w14:textId="77777777" w:rsidR="00231C7D" w:rsidRPr="00C14D35" w:rsidRDefault="00231C7D" w:rsidP="00231C7D">
      <w:pPr>
        <w:pStyle w:val="berschrift1"/>
        <w:rPr>
          <w:lang w:val="fr-CH"/>
        </w:rPr>
      </w:pPr>
      <w:bookmarkStart w:id="14" w:name="_Toc75440054"/>
      <w:r w:rsidRPr="00C14D35">
        <w:rPr>
          <w:lang w:val="fr-CH"/>
        </w:rPr>
        <w:t>Informations relatives aux conflits d’intérêts</w:t>
      </w:r>
      <w:bookmarkEnd w:id="14"/>
    </w:p>
    <w:p w14:paraId="58F77DF0"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conflits d’intérêts ne peuvent pas toujours être entièrement évités en matière de gestion de fortune et de conseil en placement. Les intérêts des clients et ceux de la </w:t>
      </w:r>
      <w:r w:rsidRPr="00C14D35">
        <w:rPr>
          <w:rFonts w:asciiTheme="majorHAnsi" w:hAnsiTheme="majorHAnsi"/>
          <w:smallCaps/>
          <w:lang w:val="fr-CH"/>
        </w:rPr>
        <w:t>société,</w:t>
      </w:r>
      <w:r w:rsidRPr="00C14D35">
        <w:rPr>
          <w:rFonts w:asciiTheme="majorHAnsi" w:hAnsiTheme="majorHAnsi"/>
          <w:lang w:val="fr-CH"/>
        </w:rPr>
        <w:t xml:space="preserve"> de ses collaborateurs et de ses actionnaires peuvent entrer en contradiction ou être opposés. Dans le </w:t>
      </w:r>
      <w:r w:rsidRPr="00C14D35">
        <w:rPr>
          <w:rFonts w:asciiTheme="majorHAnsi" w:hAnsiTheme="majorHAnsi"/>
          <w:lang w:val="fr-CH"/>
        </w:rPr>
        <w:lastRenderedPageBreak/>
        <w:t xml:space="preserve">contexte de conflits d’intérêts potentiels, la </w:t>
      </w:r>
      <w:r w:rsidRPr="00C14D35">
        <w:rPr>
          <w:rFonts w:asciiTheme="majorHAnsi" w:hAnsiTheme="majorHAnsi"/>
          <w:smallCaps/>
          <w:lang w:val="fr-CH"/>
        </w:rPr>
        <w:t>société</w:t>
      </w:r>
      <w:r w:rsidRPr="00C14D35">
        <w:rPr>
          <w:rFonts w:asciiTheme="majorHAnsi" w:hAnsiTheme="majorHAnsi"/>
          <w:lang w:val="fr-CH"/>
        </w:rPr>
        <w:t xml:space="preserve"> communique donc les éléments suivants à ses </w:t>
      </w:r>
      <w:proofErr w:type="gramStart"/>
      <w:r w:rsidRPr="00C14D35">
        <w:rPr>
          <w:rFonts w:asciiTheme="majorHAnsi" w:hAnsiTheme="majorHAnsi"/>
          <w:lang w:val="fr-CH"/>
        </w:rPr>
        <w:t>clients:</w:t>
      </w:r>
      <w:proofErr w:type="gramEnd"/>
    </w:p>
    <w:p w14:paraId="29A73E60" w14:textId="1D1FAB92" w:rsidR="00231C7D" w:rsidRPr="00C14D35" w:rsidRDefault="00BD508D" w:rsidP="00231C7D">
      <w:pPr>
        <w:pStyle w:val="Listenabsatz"/>
        <w:numPr>
          <w:ilvl w:val="0"/>
          <w:numId w:val="7"/>
        </w:numPr>
        <w:jc w:val="both"/>
        <w:rPr>
          <w:rFonts w:asciiTheme="majorHAnsi" w:hAnsiTheme="majorHAnsi"/>
          <w:lang w:val="fr-CH"/>
        </w:rPr>
      </w:pPr>
      <w:r>
        <w:rPr>
          <w:rFonts w:asciiTheme="majorHAnsi" w:hAnsiTheme="majorHAnsi"/>
          <w:lang w:val="fr-CH"/>
        </w:rPr>
        <w:t>S</w:t>
      </w:r>
      <w:r w:rsidR="00231C7D" w:rsidRPr="00C14D35">
        <w:rPr>
          <w:rFonts w:asciiTheme="majorHAnsi" w:hAnsiTheme="majorHAnsi"/>
          <w:lang w:val="fr-CH"/>
        </w:rPr>
        <w:t xml:space="preserve">i et dans la mesure où la </w:t>
      </w:r>
      <w:r w:rsidR="00231C7D" w:rsidRPr="00C14D35">
        <w:rPr>
          <w:rFonts w:asciiTheme="majorHAnsi" w:hAnsiTheme="majorHAnsi"/>
          <w:smallCaps/>
          <w:lang w:val="fr-CH"/>
        </w:rPr>
        <w:t>société</w:t>
      </w:r>
      <w:r w:rsidR="00231C7D" w:rsidRPr="00C14D35">
        <w:rPr>
          <w:rFonts w:asciiTheme="majorHAnsi" w:hAnsiTheme="majorHAnsi"/>
          <w:lang w:val="fr-CH"/>
        </w:rPr>
        <w:t xml:space="preserve"> gère elle-même des produits financiers qui sont recommandés aux clients ou utilisés pour les placements des clients </w:t>
      </w:r>
      <w:proofErr w:type="gramStart"/>
      <w:r w:rsidR="00231C7D" w:rsidRPr="00C14D35">
        <w:rPr>
          <w:rFonts w:asciiTheme="majorHAnsi" w:hAnsiTheme="majorHAnsi"/>
          <w:lang w:val="fr-CH"/>
        </w:rPr>
        <w:t>(«produits</w:t>
      </w:r>
      <w:proofErr w:type="gramEnd"/>
      <w:r w:rsidR="00231C7D" w:rsidRPr="00C14D35">
        <w:rPr>
          <w:rFonts w:asciiTheme="majorHAnsi" w:hAnsiTheme="majorHAnsi"/>
          <w:lang w:val="fr-CH"/>
        </w:rPr>
        <w:t xml:space="preserve"> internes»), elle réalise des recettes plus élevées que si elle avait recours à des produits de fournisseurs tiers. Dans certaines circonstances, cela crée des incitations qui entrent en conflit avec les intérêts des clients d’utiliser des produits internes alors que des produits financiers de fournisseurs tiers prendraient mieux les intérêts du client en compte.</w:t>
      </w:r>
    </w:p>
    <w:p w14:paraId="1010A8B8" w14:textId="77777777" w:rsidR="00231C7D" w:rsidRPr="00C14D35" w:rsidRDefault="00231C7D" w:rsidP="00231C7D">
      <w:pPr>
        <w:pStyle w:val="Listenabsatz"/>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n’utilise les produits internes qu’à titre complémentaire dans le cadre de l’univers de placement employé. Les coûts des produits internes (frais de gestion et d’administration) sont équivalents à ceux des produits de fournisseurs tiers comparables. </w:t>
      </w:r>
    </w:p>
    <w:p w14:paraId="6A254507" w14:textId="77777777" w:rsidR="00231C7D" w:rsidRPr="00C14D35" w:rsidRDefault="00231C7D" w:rsidP="00231C7D">
      <w:pPr>
        <w:pStyle w:val="Listenabsatz"/>
        <w:jc w:val="both"/>
        <w:rPr>
          <w:rFonts w:asciiTheme="majorHAnsi" w:hAnsiTheme="majorHAnsi"/>
          <w:lang w:val="fr-CH"/>
        </w:rPr>
      </w:pPr>
    </w:p>
    <w:p w14:paraId="32D60180" w14:textId="77777777" w:rsidR="00231C7D" w:rsidRPr="00C14D35" w:rsidRDefault="00231C7D" w:rsidP="00231C7D">
      <w:pPr>
        <w:pStyle w:val="Listenabsatz"/>
        <w:numPr>
          <w:ilvl w:val="0"/>
          <w:numId w:val="7"/>
        </w:numPr>
        <w:jc w:val="both"/>
        <w:rPr>
          <w:rFonts w:asciiTheme="majorHAnsi" w:hAnsiTheme="majorHAnsi"/>
          <w:lang w:val="fr-CH"/>
        </w:rPr>
      </w:pPr>
      <w:r w:rsidRPr="00C14D35">
        <w:rPr>
          <w:rFonts w:asciiTheme="majorHAnsi" w:hAnsiTheme="majorHAnsi"/>
          <w:lang w:val="fr-CH"/>
        </w:rPr>
        <w:t xml:space="preserve">Les indemnités de banques, de directions de fonds et d’émetteurs peuvent créer des incitations à réaliser des chiffres d’affaires plus importants en valeurs mobilières ou à sélectionner des produits s’accompagnant de rémunérations plus élevées sans que cela constitue le meilleur choix dans l’intérêt du client. </w:t>
      </w:r>
    </w:p>
    <w:p w14:paraId="57044AD0" w14:textId="77777777" w:rsidR="00231C7D" w:rsidRPr="00C14D35" w:rsidRDefault="00231C7D" w:rsidP="00231C7D">
      <w:pPr>
        <w:pStyle w:val="Listenabsatz"/>
        <w:spacing w:before="240"/>
        <w:jc w:val="both"/>
        <w:rPr>
          <w:rFonts w:asciiTheme="majorHAnsi" w:hAnsiTheme="majorHAnsi"/>
          <w:lang w:val="fr-CH"/>
        </w:rPr>
      </w:pPr>
      <w:r w:rsidRPr="00C14D35">
        <w:rPr>
          <w:rFonts w:asciiTheme="majorHAnsi" w:hAnsiTheme="majorHAnsi"/>
          <w:lang w:val="fr-CH"/>
        </w:rPr>
        <w:t xml:space="preserve">Aucune mesure organisationnelle ne permet d’exclure totalement les éventuels effets indésirables de ces intérêts contradictoires, notamment parce que la </w:t>
      </w:r>
      <w:r w:rsidRPr="00C14D35">
        <w:rPr>
          <w:rFonts w:asciiTheme="majorHAnsi" w:hAnsiTheme="majorHAnsi"/>
          <w:smallCaps/>
          <w:lang w:val="fr-CH"/>
        </w:rPr>
        <w:t>société</w:t>
      </w:r>
      <w:r w:rsidRPr="00C14D35">
        <w:rPr>
          <w:rFonts w:asciiTheme="majorHAnsi" w:hAnsiTheme="majorHAnsi"/>
          <w:lang w:val="fr-CH"/>
        </w:rPr>
        <w:t xml:space="preserve"> est gérée par ses propriétaires. Nous levons les conflits d’intérêts latents en informant largement nos clients et en leur laissant le choix d’exclure par contrat des prestataires et des produits qui donnent lieu à des rémunérations de la partie tierce ou de convenir de la transmission de rémunérations de la partie tierce au client. La </w:t>
      </w:r>
      <w:r w:rsidRPr="00C14D35">
        <w:rPr>
          <w:rFonts w:asciiTheme="majorHAnsi" w:hAnsiTheme="majorHAnsi"/>
          <w:smallCaps/>
          <w:lang w:val="fr-CH"/>
        </w:rPr>
        <w:t>société</w:t>
      </w:r>
      <w:r w:rsidRPr="00C14D35">
        <w:rPr>
          <w:rFonts w:asciiTheme="majorHAnsi" w:hAnsiTheme="majorHAnsi"/>
          <w:lang w:val="fr-CH"/>
        </w:rPr>
        <w:t xml:space="preserve"> n’apporte </w:t>
      </w:r>
      <w:proofErr w:type="gramStart"/>
      <w:r w:rsidRPr="00C14D35">
        <w:rPr>
          <w:rFonts w:asciiTheme="majorHAnsi" w:hAnsiTheme="majorHAnsi"/>
          <w:lang w:val="fr-CH"/>
        </w:rPr>
        <w:t>par contre</w:t>
      </w:r>
      <w:proofErr w:type="gramEnd"/>
      <w:r w:rsidRPr="00C14D35">
        <w:rPr>
          <w:rFonts w:asciiTheme="majorHAnsi" w:hAnsiTheme="majorHAnsi"/>
          <w:lang w:val="fr-CH"/>
        </w:rPr>
        <w:t xml:space="preserve"> aucune assurance à ses clients que cela abaissera le coût total des placements. </w:t>
      </w:r>
    </w:p>
    <w:p w14:paraId="5AB6FA0F" w14:textId="77777777" w:rsidR="00231C7D" w:rsidRPr="00C14D35" w:rsidRDefault="00231C7D" w:rsidP="00231C7D">
      <w:pPr>
        <w:pStyle w:val="Listenabsatz"/>
        <w:spacing w:before="240"/>
        <w:jc w:val="both"/>
        <w:rPr>
          <w:rFonts w:asciiTheme="majorHAnsi" w:hAnsiTheme="majorHAnsi"/>
          <w:lang w:val="fr-CH"/>
        </w:rPr>
      </w:pPr>
    </w:p>
    <w:p w14:paraId="38A3EBE3" w14:textId="77777777" w:rsidR="00231C7D" w:rsidRPr="00C14D35" w:rsidRDefault="00231C7D" w:rsidP="00231C7D">
      <w:pPr>
        <w:pStyle w:val="Listenabsatz"/>
        <w:numPr>
          <w:ilvl w:val="0"/>
          <w:numId w:val="7"/>
        </w:numPr>
        <w:spacing w:before="240"/>
        <w:jc w:val="both"/>
        <w:rPr>
          <w:rFonts w:asciiTheme="majorHAnsi" w:hAnsiTheme="majorHAnsi"/>
          <w:lang w:val="fr-CH"/>
        </w:rPr>
      </w:pPr>
      <w:r w:rsidRPr="00C14D35">
        <w:rPr>
          <w:rFonts w:asciiTheme="majorHAnsi" w:hAnsiTheme="majorHAnsi"/>
          <w:lang w:val="fr-CH"/>
        </w:rPr>
        <w:t xml:space="preserve">Lors de la souscription de produits financiers qui doivent être nouvellement émis (en particulier lors de la première cotation d’actions), les souscriptions destinées aux clients peuvent entrer en concurrence avec celles de la </w:t>
      </w:r>
      <w:r w:rsidRPr="00C14D35">
        <w:rPr>
          <w:rFonts w:asciiTheme="majorHAnsi" w:hAnsiTheme="majorHAnsi"/>
          <w:smallCaps/>
          <w:lang w:val="fr-CH"/>
        </w:rPr>
        <w:t>société</w:t>
      </w:r>
      <w:r w:rsidRPr="00C14D35">
        <w:rPr>
          <w:rFonts w:asciiTheme="majorHAnsi" w:hAnsiTheme="majorHAnsi"/>
          <w:lang w:val="fr-CH"/>
        </w:rPr>
        <w:t xml:space="preserve"> et/ou de ses collaborateurs. En cas de sursouscription, cela peut entraîner des réductions des souscriptions des clients. </w:t>
      </w:r>
    </w:p>
    <w:p w14:paraId="039D4686" w14:textId="299759E0" w:rsidR="00231C7D" w:rsidRPr="00C14D35" w:rsidRDefault="00231C7D" w:rsidP="00231C7D">
      <w:pPr>
        <w:pStyle w:val="Listenabsatz"/>
        <w:spacing w:before="240"/>
        <w:jc w:val="both"/>
        <w:rPr>
          <w:rFonts w:asciiTheme="majorHAnsi" w:hAnsiTheme="majorHAnsi"/>
          <w:lang w:val="fr-CH"/>
        </w:rPr>
      </w:pPr>
      <w:r w:rsidRPr="00C14D35">
        <w:rPr>
          <w:rFonts w:asciiTheme="majorHAnsi" w:hAnsiTheme="majorHAnsi"/>
          <w:lang w:val="fr-CH"/>
        </w:rPr>
        <w:t xml:space="preserve">Si l’on considère l’univers de placement sous gestion de la </w:t>
      </w:r>
      <w:r w:rsidRPr="00C14D35">
        <w:rPr>
          <w:rFonts w:asciiTheme="majorHAnsi" w:hAnsiTheme="majorHAnsi"/>
          <w:smallCaps/>
          <w:lang w:val="fr-CH"/>
        </w:rPr>
        <w:t>société,</w:t>
      </w:r>
      <w:r w:rsidRPr="00C14D35">
        <w:rPr>
          <w:rFonts w:asciiTheme="majorHAnsi" w:hAnsiTheme="majorHAnsi"/>
          <w:lang w:val="fr-CH"/>
        </w:rPr>
        <w:t xml:space="preserve"> de tels cas ne devraient se produire que très rarement, voire jamais. Les stratégies de placement employées par la </w:t>
      </w:r>
      <w:r w:rsidRPr="00C14D35">
        <w:rPr>
          <w:rFonts w:asciiTheme="majorHAnsi" w:hAnsiTheme="majorHAnsi"/>
          <w:smallCaps/>
          <w:lang w:val="fr-CH"/>
        </w:rPr>
        <w:t>société</w:t>
      </w:r>
      <w:r w:rsidRPr="00C14D35">
        <w:rPr>
          <w:rFonts w:asciiTheme="majorHAnsi" w:hAnsiTheme="majorHAnsi"/>
          <w:lang w:val="fr-CH"/>
        </w:rPr>
        <w:t xml:space="preserve"> ne prévoient pas de souscriptions d’actions lors de premières cotations. Si les clients souhaitent que la </w:t>
      </w:r>
      <w:r w:rsidRPr="00C14D35">
        <w:rPr>
          <w:rFonts w:asciiTheme="majorHAnsi" w:hAnsiTheme="majorHAnsi"/>
          <w:smallCaps/>
          <w:lang w:val="fr-CH"/>
        </w:rPr>
        <w:t>société</w:t>
      </w:r>
      <w:r w:rsidRPr="00C14D35">
        <w:rPr>
          <w:rFonts w:asciiTheme="majorHAnsi" w:hAnsiTheme="majorHAnsi"/>
          <w:lang w:val="fr-CH"/>
        </w:rPr>
        <w:t xml:space="preserve"> en souscrive pour leur compte, nous publions si et dans quelle mesure la société et ses collaborateurs chargés d’activités de placement participent eux aussi à la souscription. </w:t>
      </w:r>
    </w:p>
    <w:p w14:paraId="43A73B1A" w14:textId="77777777" w:rsidR="00231C7D" w:rsidRPr="00C14D35" w:rsidRDefault="00231C7D" w:rsidP="00231C7D">
      <w:pPr>
        <w:pStyle w:val="Listenabsatz"/>
        <w:spacing w:before="240"/>
        <w:jc w:val="both"/>
        <w:rPr>
          <w:rFonts w:asciiTheme="majorHAnsi" w:hAnsiTheme="majorHAnsi"/>
          <w:lang w:val="fr-CH"/>
        </w:rPr>
      </w:pPr>
    </w:p>
    <w:p w14:paraId="019325AC" w14:textId="77777777" w:rsidR="00231C7D" w:rsidRPr="00C14D35" w:rsidRDefault="00231C7D" w:rsidP="00231C7D">
      <w:pPr>
        <w:pStyle w:val="Listenabsatz"/>
        <w:numPr>
          <w:ilvl w:val="0"/>
          <w:numId w:val="7"/>
        </w:numPr>
        <w:spacing w:before="240" w:after="0"/>
        <w:ind w:left="714" w:hanging="357"/>
        <w:contextualSpacing w:val="0"/>
        <w:jc w:val="both"/>
        <w:rPr>
          <w:rFonts w:asciiTheme="majorHAnsi" w:hAnsiTheme="majorHAnsi"/>
          <w:lang w:val="fr-CH"/>
        </w:rPr>
      </w:pPr>
      <w:r w:rsidRPr="00C14D35">
        <w:rPr>
          <w:rFonts w:asciiTheme="majorHAnsi" w:hAnsiTheme="majorHAnsi"/>
          <w:lang w:val="fr-CH"/>
        </w:rPr>
        <w:t xml:space="preserve">Si la </w:t>
      </w:r>
      <w:r w:rsidRPr="00C14D35">
        <w:rPr>
          <w:rFonts w:asciiTheme="majorHAnsi" w:hAnsiTheme="majorHAnsi"/>
          <w:smallCaps/>
          <w:lang w:val="fr-CH"/>
        </w:rPr>
        <w:t>société</w:t>
      </w:r>
      <w:r w:rsidRPr="00C14D35">
        <w:rPr>
          <w:rFonts w:asciiTheme="majorHAnsi" w:hAnsiTheme="majorHAnsi"/>
          <w:lang w:val="fr-CH"/>
        </w:rPr>
        <w:t xml:space="preserve"> ou ses collaborateurs investissent dans les mêmes instruments financiers que des certaines parties de la fortune du client, les clients peuvent pour diverses raisons être désavantagés. </w:t>
      </w:r>
    </w:p>
    <w:p w14:paraId="0518E711" w14:textId="270AF5EF" w:rsidR="00231C7D" w:rsidRPr="00C14D35" w:rsidRDefault="00231C7D" w:rsidP="00231C7D">
      <w:pPr>
        <w:pStyle w:val="Listenabsatz"/>
        <w:ind w:left="714"/>
        <w:contextualSpacing w:val="0"/>
        <w:jc w:val="both"/>
        <w:rPr>
          <w:rFonts w:asciiTheme="majorHAnsi" w:hAnsiTheme="majorHAnsi"/>
          <w:lang w:val="fr-CH"/>
        </w:rPr>
      </w:pPr>
      <w:r w:rsidRPr="00C14D35">
        <w:rPr>
          <w:rFonts w:asciiTheme="majorHAnsi" w:hAnsiTheme="majorHAnsi"/>
          <w:lang w:val="fr-CH"/>
        </w:rPr>
        <w:t xml:space="preserve">Les prescriptions légales nous interdisent de réaliser des affaires pouvant entraîner de tels désavantages tels que le </w:t>
      </w:r>
      <w:r w:rsidRPr="00C14D35">
        <w:rPr>
          <w:rFonts w:asciiTheme="majorHAnsi" w:hAnsiTheme="majorHAnsi"/>
          <w:i/>
          <w:iCs/>
          <w:lang w:val="fr-CH"/>
        </w:rPr>
        <w:t xml:space="preserve">front, </w:t>
      </w:r>
      <w:proofErr w:type="spellStart"/>
      <w:r w:rsidRPr="00C14D35">
        <w:rPr>
          <w:rFonts w:asciiTheme="majorHAnsi" w:hAnsiTheme="majorHAnsi"/>
          <w:i/>
          <w:iCs/>
          <w:lang w:val="fr-CH"/>
        </w:rPr>
        <w:t>parallel</w:t>
      </w:r>
      <w:proofErr w:type="spellEnd"/>
      <w:r w:rsidRPr="00C14D35">
        <w:rPr>
          <w:rFonts w:asciiTheme="majorHAnsi" w:hAnsiTheme="majorHAnsi"/>
          <w:i/>
          <w:iCs/>
          <w:lang w:val="fr-CH"/>
        </w:rPr>
        <w:t xml:space="preserve"> ou </w:t>
      </w:r>
      <w:proofErr w:type="spellStart"/>
      <w:r w:rsidRPr="00C14D35">
        <w:rPr>
          <w:rFonts w:asciiTheme="majorHAnsi" w:hAnsiTheme="majorHAnsi"/>
          <w:i/>
          <w:iCs/>
          <w:lang w:val="fr-CH"/>
        </w:rPr>
        <w:t>after</w:t>
      </w:r>
      <w:proofErr w:type="spellEnd"/>
      <w:r w:rsidRPr="00C14D35">
        <w:rPr>
          <w:rFonts w:asciiTheme="majorHAnsi" w:hAnsiTheme="majorHAnsi"/>
          <w:i/>
          <w:iCs/>
          <w:lang w:val="fr-CH"/>
        </w:rPr>
        <w:t xml:space="preserve"> running</w:t>
      </w:r>
      <w:r w:rsidRPr="00C14D35">
        <w:rPr>
          <w:rFonts w:asciiTheme="majorHAnsi" w:hAnsiTheme="majorHAnsi"/>
          <w:lang w:val="fr-CH"/>
        </w:rPr>
        <w:t xml:space="preserve">, et nous faisons l’objet d’une surveillance quant au respect de ces interdictions. D’autre part, la </w:t>
      </w:r>
      <w:r w:rsidRPr="00C14D35">
        <w:rPr>
          <w:rFonts w:asciiTheme="majorHAnsi" w:hAnsiTheme="majorHAnsi"/>
          <w:smallCaps/>
          <w:lang w:val="fr-CH"/>
        </w:rPr>
        <w:t>société</w:t>
      </w:r>
      <w:r w:rsidRPr="00C14D35">
        <w:rPr>
          <w:rFonts w:asciiTheme="majorHAnsi" w:hAnsiTheme="majorHAnsi"/>
          <w:lang w:val="fr-CH"/>
        </w:rPr>
        <w:t xml:space="preserve"> et ses collaborateurs peuvent investir, dans le cadre de leurs propres placements, dans les mêmes instruments financiers que les fortunes des clients sont ou seront investies. Si la </w:t>
      </w:r>
      <w:r w:rsidRPr="00C14D35">
        <w:rPr>
          <w:rFonts w:asciiTheme="majorHAnsi" w:hAnsiTheme="majorHAnsi"/>
          <w:smallCaps/>
          <w:lang w:val="fr-CH"/>
        </w:rPr>
        <w:t>société</w:t>
      </w:r>
      <w:r w:rsidRPr="00C14D35">
        <w:rPr>
          <w:rFonts w:asciiTheme="majorHAnsi" w:hAnsiTheme="majorHAnsi"/>
          <w:lang w:val="fr-CH"/>
        </w:rPr>
        <w:t xml:space="preserve"> ou ses collaborateurs sont en possession d’informations d’initiés, les directives </w:t>
      </w:r>
      <w:r w:rsidRPr="00C14D35">
        <w:rPr>
          <w:rFonts w:asciiTheme="majorHAnsi" w:hAnsiTheme="majorHAnsi"/>
          <w:lang w:val="fr-CH"/>
        </w:rPr>
        <w:lastRenderedPageBreak/>
        <w:t xml:space="preserve">internes interdisent leur utilisation abusive. D’autre part, la </w:t>
      </w:r>
      <w:r w:rsidRPr="00C14D35">
        <w:rPr>
          <w:rFonts w:asciiTheme="majorHAnsi" w:hAnsiTheme="majorHAnsi"/>
          <w:smallCaps/>
          <w:lang w:val="fr-CH"/>
        </w:rPr>
        <w:t>société</w:t>
      </w:r>
      <w:r w:rsidRPr="00C14D35">
        <w:rPr>
          <w:rFonts w:asciiTheme="majorHAnsi" w:hAnsiTheme="majorHAnsi"/>
          <w:lang w:val="fr-CH"/>
        </w:rPr>
        <w:t xml:space="preserve"> réalise des placements en s’appuyant uniquement sur des informations accessibles au public et sur les analyses financières établies par ses collaborateurs ou ses mandataires. </w:t>
      </w:r>
    </w:p>
    <w:p w14:paraId="276537C4" w14:textId="77777777" w:rsidR="00231C7D" w:rsidRPr="00C14D35" w:rsidRDefault="00231C7D" w:rsidP="00231C7D">
      <w:pPr>
        <w:pStyle w:val="Listenabsatz"/>
        <w:numPr>
          <w:ilvl w:val="0"/>
          <w:numId w:val="7"/>
        </w:numPr>
        <w:spacing w:before="240" w:after="0"/>
        <w:contextualSpacing w:val="0"/>
        <w:jc w:val="both"/>
        <w:rPr>
          <w:rFonts w:asciiTheme="majorHAnsi" w:hAnsiTheme="majorHAnsi"/>
          <w:lang w:val="fr-CH"/>
        </w:rPr>
      </w:pPr>
      <w:r w:rsidRPr="00C14D35">
        <w:rPr>
          <w:rFonts w:asciiTheme="majorHAnsi" w:hAnsiTheme="majorHAnsi"/>
          <w:lang w:val="fr-CH"/>
        </w:rPr>
        <w:t xml:space="preserve">Si la </w:t>
      </w:r>
      <w:r w:rsidRPr="00C14D35">
        <w:rPr>
          <w:rFonts w:asciiTheme="majorHAnsi" w:hAnsiTheme="majorHAnsi"/>
          <w:smallCaps/>
          <w:lang w:val="fr-CH"/>
        </w:rPr>
        <w:t>société</w:t>
      </w:r>
      <w:r w:rsidRPr="00C14D35">
        <w:rPr>
          <w:rFonts w:asciiTheme="majorHAnsi" w:hAnsiTheme="majorHAnsi"/>
          <w:lang w:val="fr-CH"/>
        </w:rPr>
        <w:t xml:space="preserve"> passe des ordres pour plusieurs clients et auprès de plusieurs banques dépositaires, il est impossible de garantir que les ordres de tous les clients seront exécutés aux mêmes conditions. La </w:t>
      </w:r>
      <w:r w:rsidRPr="00C14D35">
        <w:rPr>
          <w:rFonts w:asciiTheme="majorHAnsi" w:hAnsiTheme="majorHAnsi"/>
          <w:smallCaps/>
          <w:lang w:val="fr-CH"/>
        </w:rPr>
        <w:t>société</w:t>
      </w:r>
      <w:r w:rsidRPr="00C14D35">
        <w:rPr>
          <w:rFonts w:asciiTheme="majorHAnsi" w:hAnsiTheme="majorHAnsi"/>
          <w:lang w:val="fr-CH"/>
        </w:rPr>
        <w:t xml:space="preserve"> organise la passation des ordres de manière à éviter que certains clients ne soient fortement désavantagés, mais il est impossible de garantir une égalité de traitement totale, tant au niveau du prix que des délais. </w:t>
      </w:r>
    </w:p>
    <w:p w14:paraId="71192F34" w14:textId="77777777" w:rsidR="00231C7D" w:rsidRPr="00C14D35" w:rsidRDefault="00231C7D" w:rsidP="00231C7D">
      <w:pPr>
        <w:jc w:val="both"/>
        <w:rPr>
          <w:rFonts w:asciiTheme="majorHAnsi" w:hAnsiTheme="majorHAnsi"/>
          <w:lang w:val="fr-CH"/>
        </w:rPr>
      </w:pPr>
    </w:p>
    <w:p w14:paraId="6E34C600" w14:textId="054BB378" w:rsidR="00231C7D" w:rsidRPr="00C14D35" w:rsidRDefault="00231C7D" w:rsidP="00231C7D">
      <w:pPr>
        <w:pStyle w:val="berschrift1"/>
        <w:rPr>
          <w:lang w:val="fr-CH"/>
        </w:rPr>
      </w:pPr>
      <w:bookmarkStart w:id="15" w:name="_Toc75440055"/>
      <w:r w:rsidRPr="00C14D35">
        <w:rPr>
          <w:lang w:val="fr-CH"/>
        </w:rPr>
        <w:t xml:space="preserve">Reddition de comptes de la </w:t>
      </w:r>
      <w:r w:rsidR="00085F6F">
        <w:rPr>
          <w:lang w:val="fr-CH"/>
        </w:rPr>
        <w:t>société</w:t>
      </w:r>
      <w:r w:rsidRPr="00C14D35">
        <w:rPr>
          <w:lang w:val="fr-CH"/>
        </w:rPr>
        <w:t xml:space="preserve"> vis-à-vis des clients</w:t>
      </w:r>
      <w:bookmarkEnd w:id="15"/>
    </w:p>
    <w:p w14:paraId="799CEA01"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rend compte de son activité à ses clients exclusivement sur la base des justificatifs bancaires établis pour les clients. Les justificatifs et extraits concernant les comptes/dépôts du client auprès de la banque dépositaire correspondante mentionnent l’honoraire de la </w:t>
      </w:r>
      <w:r w:rsidRPr="00C14D35">
        <w:rPr>
          <w:rFonts w:asciiTheme="majorHAnsi" w:hAnsiTheme="majorHAnsi"/>
          <w:smallCaps/>
          <w:lang w:val="fr-CH"/>
        </w:rPr>
        <w:t>société</w:t>
      </w:r>
      <w:r w:rsidRPr="00C14D35">
        <w:rPr>
          <w:rFonts w:asciiTheme="majorHAnsi" w:hAnsiTheme="majorHAnsi"/>
          <w:lang w:val="fr-CH"/>
        </w:rPr>
        <w:t xml:space="preserve"> comme un achat et pas sous forme de coûts de gestion de fortune. Une performance exprimée en pourcentage est donc légèrement mieux exprimée que la performance effective sous forme de coût.</w:t>
      </w:r>
    </w:p>
    <w:p w14:paraId="13CA19E2"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présente les synthèses des comptes, dépôts et performances de leurs banques dépositaires aux clients aux conditions définies dans leur contrat individuel ainsi que sur demande. </w:t>
      </w:r>
    </w:p>
    <w:p w14:paraId="4B4FADC5" w14:textId="5F2D563A" w:rsidR="00231C7D" w:rsidRPr="00C14D35" w:rsidRDefault="00231C7D" w:rsidP="00231C7D">
      <w:pPr>
        <w:jc w:val="both"/>
        <w:rPr>
          <w:rFonts w:asciiTheme="majorHAnsi" w:hAnsiTheme="majorHAnsi"/>
          <w:lang w:val="fr-CH"/>
        </w:rPr>
      </w:pPr>
      <w:r w:rsidRPr="00C14D35">
        <w:rPr>
          <w:rFonts w:asciiTheme="majorHAnsi" w:hAnsiTheme="majorHAnsi"/>
          <w:lang w:val="fr-CH"/>
        </w:rPr>
        <w:t>L’édition de documents et informations complémentaires s’effectue dans le respect de l’art.</w:t>
      </w:r>
      <w:r w:rsidR="0011175C">
        <w:rPr>
          <w:rFonts w:asciiTheme="majorHAnsi" w:hAnsiTheme="majorHAnsi"/>
          <w:lang w:val="fr-CH"/>
        </w:rPr>
        <w:t> </w:t>
      </w:r>
      <w:r w:rsidRPr="00C14D35">
        <w:rPr>
          <w:rFonts w:asciiTheme="majorHAnsi" w:hAnsiTheme="majorHAnsi"/>
          <w:lang w:val="fr-CH"/>
        </w:rPr>
        <w:t>72</w:t>
      </w:r>
      <w:r w:rsidR="0011175C">
        <w:rPr>
          <w:rFonts w:asciiTheme="majorHAnsi" w:hAnsiTheme="majorHAnsi"/>
          <w:lang w:val="fr-CH"/>
        </w:rPr>
        <w:t> </w:t>
      </w:r>
      <w:r w:rsidRPr="00C14D35">
        <w:rPr>
          <w:rFonts w:asciiTheme="majorHAnsi" w:hAnsiTheme="majorHAnsi"/>
          <w:lang w:val="fr-CH"/>
        </w:rPr>
        <w:t>s.</w:t>
      </w:r>
      <w:r w:rsidR="0011175C">
        <w:rPr>
          <w:rFonts w:asciiTheme="majorHAnsi" w:hAnsiTheme="majorHAnsi"/>
          <w:lang w:val="fr-CH"/>
        </w:rPr>
        <w:t> </w:t>
      </w:r>
      <w:proofErr w:type="spellStart"/>
      <w:r w:rsidRPr="00C14D35">
        <w:rPr>
          <w:rFonts w:asciiTheme="majorHAnsi" w:hAnsiTheme="majorHAnsi"/>
          <w:lang w:val="fr-CH"/>
        </w:rPr>
        <w:t>LSFin</w:t>
      </w:r>
      <w:proofErr w:type="spellEnd"/>
      <w:r w:rsidRPr="00C14D35">
        <w:rPr>
          <w:rFonts w:asciiTheme="majorHAnsi" w:hAnsiTheme="majorHAnsi"/>
          <w:lang w:val="fr-CH"/>
        </w:rPr>
        <w:t xml:space="preserve"> et des dispositions de la loi sur la protection des données. </w:t>
      </w:r>
    </w:p>
    <w:p w14:paraId="4ACA4106" w14:textId="77777777" w:rsidR="00231C7D" w:rsidRPr="00C14D35" w:rsidRDefault="00231C7D" w:rsidP="00231C7D">
      <w:pPr>
        <w:pStyle w:val="berschrift1"/>
        <w:rPr>
          <w:lang w:val="fr-CH"/>
        </w:rPr>
      </w:pPr>
      <w:bookmarkStart w:id="16" w:name="_Toc75440056"/>
      <w:r w:rsidRPr="00C14D35">
        <w:rPr>
          <w:lang w:val="fr-CH"/>
        </w:rPr>
        <w:t>Informations complémentaires</w:t>
      </w:r>
      <w:bookmarkEnd w:id="16"/>
      <w:r w:rsidRPr="00C14D35">
        <w:rPr>
          <w:lang w:val="fr-CH"/>
        </w:rPr>
        <w:t xml:space="preserve"> </w:t>
      </w:r>
    </w:p>
    <w:p w14:paraId="4C2D5095" w14:textId="77777777" w:rsidR="00231C7D" w:rsidRPr="00C14D35" w:rsidRDefault="00231C7D" w:rsidP="00231C7D">
      <w:pPr>
        <w:pStyle w:val="berschrift2"/>
        <w:ind w:left="426" w:hanging="426"/>
        <w:rPr>
          <w:b w:val="0"/>
          <w:lang w:val="fr-CH"/>
        </w:rPr>
      </w:pPr>
      <w:bookmarkStart w:id="17" w:name="_Toc75440057"/>
      <w:r w:rsidRPr="00C14D35">
        <w:rPr>
          <w:lang w:val="fr-CH"/>
        </w:rPr>
        <w:t>Informations relatives à la délégation de prestations essentielles</w:t>
      </w:r>
      <w:bookmarkEnd w:id="17"/>
    </w:p>
    <w:p w14:paraId="01792FF6"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exerce une activité de placement au nom, pour le compte et au risque du mandant. Elle se réserve le droit d’externaliser des tâches opérationnelles essentielles auprès de tiers. La </w:t>
      </w:r>
      <w:r w:rsidRPr="00C14D35">
        <w:rPr>
          <w:rFonts w:asciiTheme="majorHAnsi" w:hAnsiTheme="majorHAnsi"/>
          <w:smallCaps/>
          <w:lang w:val="fr-CH"/>
        </w:rPr>
        <w:t>société</w:t>
      </w:r>
      <w:r w:rsidRPr="00C14D35">
        <w:rPr>
          <w:rFonts w:asciiTheme="majorHAnsi" w:hAnsiTheme="majorHAnsi"/>
          <w:lang w:val="fr-CH"/>
        </w:rPr>
        <w:t xml:space="preserve"> s’assure que les tiers auxquels elle a recours disposent des compétences, des connaissances et de l’expérience nécessaires à leur activité ainsi que des autorisations et inscriptions nécessaires. Le gestionnaire de fortune ne répond que du soin qu’il doit porter lors du choix, de l’instruction et de la surveillance de ces tiers. </w:t>
      </w:r>
    </w:p>
    <w:p w14:paraId="21319CF4"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Les relations dans le cadre desquelles la </w:t>
      </w:r>
      <w:r w:rsidRPr="00C14D35">
        <w:rPr>
          <w:rFonts w:asciiTheme="majorHAnsi" w:hAnsiTheme="majorHAnsi"/>
          <w:smallCaps/>
          <w:lang w:val="fr-CH"/>
        </w:rPr>
        <w:t>société</w:t>
      </w:r>
      <w:r w:rsidRPr="00C14D35">
        <w:rPr>
          <w:rFonts w:asciiTheme="majorHAnsi" w:hAnsiTheme="majorHAnsi"/>
          <w:lang w:val="fr-CH"/>
        </w:rPr>
        <w:t xml:space="preserve"> transfère des clients à des prestataires tiers tels que des banques, des émetteurs, des avocats, des conseillers fiscaux ou des fiduciaires ne sont pas considérées comme des délégations. </w:t>
      </w:r>
    </w:p>
    <w:p w14:paraId="075EF30B" w14:textId="77777777" w:rsidR="00231C7D" w:rsidRPr="00C14D35" w:rsidRDefault="00231C7D" w:rsidP="00231C7D">
      <w:pPr>
        <w:pStyle w:val="berschrift2"/>
        <w:ind w:left="426" w:hanging="426"/>
        <w:rPr>
          <w:b w:val="0"/>
          <w:lang w:val="fr-CH"/>
        </w:rPr>
      </w:pPr>
      <w:bookmarkStart w:id="18" w:name="_Toc75440058"/>
      <w:r w:rsidRPr="00C14D35">
        <w:rPr>
          <w:lang w:val="fr-CH"/>
        </w:rPr>
        <w:lastRenderedPageBreak/>
        <w:t>Informations sur la collecte d’informations, le traitement des données et le classement des clients</w:t>
      </w:r>
      <w:bookmarkEnd w:id="18"/>
    </w:p>
    <w:p w14:paraId="609EA707" w14:textId="77777777" w:rsidR="00231C7D" w:rsidRPr="00C14D35" w:rsidRDefault="00231C7D" w:rsidP="00231C7D">
      <w:pPr>
        <w:jc w:val="both"/>
        <w:rPr>
          <w:rFonts w:asciiTheme="majorHAnsi" w:hAnsiTheme="majorHAnsi" w:cs="Calibri"/>
          <w:iCs/>
          <w:szCs w:val="20"/>
          <w:lang w:val="fr-CH"/>
        </w:rPr>
      </w:pPr>
      <w:r w:rsidRPr="00C14D35">
        <w:rPr>
          <w:rFonts w:asciiTheme="majorHAnsi" w:hAnsiTheme="majorHAnsi"/>
          <w:lang w:val="fr-CH"/>
        </w:rPr>
        <w:t xml:space="preserve">La </w:t>
      </w:r>
      <w:r w:rsidRPr="00C14D35">
        <w:rPr>
          <w:rFonts w:asciiTheme="majorHAnsi" w:hAnsiTheme="majorHAnsi"/>
          <w:smallCaps/>
          <w:lang w:val="fr-CH"/>
        </w:rPr>
        <w:t>société</w:t>
      </w:r>
      <w:r w:rsidRPr="00C14D35">
        <w:rPr>
          <w:rFonts w:asciiTheme="majorHAnsi" w:hAnsiTheme="majorHAnsi"/>
          <w:lang w:val="fr-CH"/>
        </w:rPr>
        <w:t xml:space="preserve"> classe tous ses clients conformément aux dispositions de la loi suisse sur les services financiers. Les clients classés comme investisseurs privés peuvent dans certains cas exiger d’être classés comme investisseurs professionnels. Dans le cadre de la classification des clients et du respect des prescriptions légales en matière de prévention et de lutte contre le blanchiment d’argent et le financement du terrorisme, la </w:t>
      </w:r>
      <w:r w:rsidRPr="00C14D35">
        <w:rPr>
          <w:rFonts w:asciiTheme="majorHAnsi" w:hAnsiTheme="majorHAnsi"/>
          <w:smallCaps/>
          <w:lang w:val="fr-CH"/>
        </w:rPr>
        <w:t>société</w:t>
      </w:r>
      <w:r w:rsidRPr="00C14D35">
        <w:rPr>
          <w:rFonts w:asciiTheme="majorHAnsi" w:hAnsiTheme="majorHAnsi"/>
          <w:lang w:val="fr-CH"/>
        </w:rPr>
        <w:t xml:space="preserve"> collecte auprès de ses clients des informations relatives à leurs relations personnelles et financières. Dans ce contexte, la </w:t>
      </w:r>
      <w:r w:rsidRPr="00C14D35">
        <w:rPr>
          <w:rFonts w:asciiTheme="majorHAnsi" w:hAnsiTheme="majorHAnsi"/>
          <w:smallCaps/>
          <w:lang w:val="fr-CH"/>
        </w:rPr>
        <w:t>société</w:t>
      </w:r>
      <w:r w:rsidRPr="00C14D35">
        <w:rPr>
          <w:rFonts w:asciiTheme="majorHAnsi" w:hAnsiTheme="majorHAnsi"/>
          <w:lang w:val="fr-CH"/>
        </w:rPr>
        <w:t xml:space="preserve"> est parfois amenée à traiter des profils de personnes et des données personnelles particulièrement sensibles. Si le client refuse de divulguer les informations concernées, la </w:t>
      </w:r>
      <w:r w:rsidRPr="00C14D35">
        <w:rPr>
          <w:rFonts w:asciiTheme="majorHAnsi" w:hAnsiTheme="majorHAnsi"/>
          <w:smallCaps/>
          <w:lang w:val="fr-CH"/>
        </w:rPr>
        <w:t>société</w:t>
      </w:r>
      <w:r w:rsidRPr="00C14D35">
        <w:rPr>
          <w:rFonts w:asciiTheme="majorHAnsi" w:hAnsiTheme="majorHAnsi"/>
          <w:lang w:val="fr-CH"/>
        </w:rPr>
        <w:t xml:space="preserve"> pourra se trouver dans l’incapacité de fournir certaines prestations, ou n’aura pas le droit d’établir de relation d’affaires, ou devra y mettre fin.</w:t>
      </w:r>
    </w:p>
    <w:p w14:paraId="417A9850" w14:textId="77777777" w:rsidR="00231C7D" w:rsidRPr="00C14D35" w:rsidRDefault="00231C7D" w:rsidP="00231C7D">
      <w:pPr>
        <w:pStyle w:val="berschrift2"/>
        <w:ind w:left="567" w:hanging="567"/>
        <w:rPr>
          <w:b w:val="0"/>
          <w:lang w:val="fr-CH"/>
        </w:rPr>
      </w:pPr>
      <w:r w:rsidRPr="00C14D35">
        <w:rPr>
          <w:lang w:val="fr-CH"/>
        </w:rPr>
        <w:t xml:space="preserve"> </w:t>
      </w:r>
      <w:bookmarkStart w:id="19" w:name="_Toc75440059"/>
      <w:r w:rsidRPr="00C14D35">
        <w:rPr>
          <w:lang w:val="fr-CH"/>
        </w:rPr>
        <w:t>Information du client selon la loi fédérale sur les placements collectifs de capitaux (LPCC)</w:t>
      </w:r>
      <w:bookmarkEnd w:id="19"/>
    </w:p>
    <w:p w14:paraId="17321247"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Sur la base du contrat de gestion de fortune écrit conclu avec la </w:t>
      </w:r>
      <w:r w:rsidRPr="00C14D35">
        <w:rPr>
          <w:rFonts w:asciiTheme="majorHAnsi" w:hAnsiTheme="majorHAnsi"/>
          <w:smallCaps/>
          <w:lang w:val="fr-CH"/>
        </w:rPr>
        <w:t>société,</w:t>
      </w:r>
      <w:r w:rsidRPr="00C14D35">
        <w:rPr>
          <w:rFonts w:asciiTheme="majorHAnsi" w:hAnsiTheme="majorHAnsi"/>
          <w:lang w:val="fr-CH"/>
        </w:rPr>
        <w:t xml:space="preserve"> les clients sont considérés comme des investisseurs qualifiés au sens de la législation sur les placements collectifs de capitaux. Ceci permet d’investir également dans des produits exclusivement accessibles aux investisseurs qualifiés. Ces produits ne sont en général pas destinés à des investisseurs non qualifiés et sont soumis à des dispositions de protection des investisseurs moins sévères. </w:t>
      </w:r>
    </w:p>
    <w:p w14:paraId="76F3DFC4"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Tout client peut déclarer par écrit à la </w:t>
      </w:r>
      <w:r w:rsidRPr="00C14D35">
        <w:rPr>
          <w:rFonts w:asciiTheme="majorHAnsi" w:hAnsiTheme="majorHAnsi"/>
          <w:smallCaps/>
          <w:lang w:val="fr-CH"/>
        </w:rPr>
        <w:t>société</w:t>
      </w:r>
      <w:r w:rsidRPr="00C14D35">
        <w:rPr>
          <w:rFonts w:asciiTheme="majorHAnsi" w:hAnsiTheme="majorHAnsi"/>
          <w:lang w:val="fr-CH"/>
        </w:rPr>
        <w:t xml:space="preserve"> qu’il ne souhaite pas être considéré comme un investisseur qualifié. Aucun investissement dans des produits financiers destinés aux investisseurs qualifiés ne sera alors réalisé. Les placements dans de tels produits existants seront liquidés au plus vite. </w:t>
      </w:r>
    </w:p>
    <w:p w14:paraId="04DC6854" w14:textId="77777777" w:rsidR="00231C7D" w:rsidRPr="00C14D35" w:rsidRDefault="00231C7D" w:rsidP="00231C7D">
      <w:pPr>
        <w:pStyle w:val="berschrift2"/>
        <w:ind w:left="567"/>
        <w:rPr>
          <w:lang w:val="fr-CH"/>
        </w:rPr>
      </w:pPr>
      <w:bookmarkStart w:id="20" w:name="_Toc75440060"/>
      <w:r w:rsidRPr="00C14D35">
        <w:rPr>
          <w:lang w:val="fr-CH"/>
        </w:rPr>
        <w:t>Avoirs en déshérence</w:t>
      </w:r>
      <w:bookmarkEnd w:id="20"/>
    </w:p>
    <w:p w14:paraId="169B1764"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 xml:space="preserve">Il arrive que la banque </w:t>
      </w:r>
      <w:proofErr w:type="gramStart"/>
      <w:r w:rsidRPr="00C14D35">
        <w:rPr>
          <w:rFonts w:asciiTheme="majorHAnsi" w:hAnsiTheme="majorHAnsi"/>
          <w:lang w:val="fr-CH"/>
        </w:rPr>
        <w:t>perd</w:t>
      </w:r>
      <w:proofErr w:type="gramEnd"/>
      <w:r w:rsidRPr="00C14D35">
        <w:rPr>
          <w:rFonts w:asciiTheme="majorHAnsi" w:hAnsiTheme="majorHAnsi"/>
          <w:lang w:val="fr-CH"/>
        </w:rPr>
        <w:t xml:space="preserve"> le contact avec des clients et que les valeurs patrimoniales soient donc en déshérence. De telles valeurs patrimoniales peuvent tomber définitivement dans l’oubli pour les clients et leurs héritiers. Afin d’éviter toute perte de contact ou déshérence, les recommandations sont les </w:t>
      </w:r>
      <w:proofErr w:type="gramStart"/>
      <w:r w:rsidRPr="00C14D35">
        <w:rPr>
          <w:rFonts w:asciiTheme="majorHAnsi" w:hAnsiTheme="majorHAnsi"/>
          <w:lang w:val="fr-CH"/>
        </w:rPr>
        <w:t>suivantes:</w:t>
      </w:r>
      <w:proofErr w:type="gramEnd"/>
    </w:p>
    <w:p w14:paraId="56DD05A2" w14:textId="77777777" w:rsidR="00231C7D" w:rsidRPr="00C14D35" w:rsidRDefault="00231C7D" w:rsidP="00231C7D">
      <w:pPr>
        <w:pStyle w:val="Default"/>
        <w:numPr>
          <w:ilvl w:val="0"/>
          <w:numId w:val="6"/>
        </w:numPr>
        <w:spacing w:after="200" w:line="276" w:lineRule="auto"/>
        <w:jc w:val="both"/>
        <w:rPr>
          <w:rFonts w:asciiTheme="majorHAnsi" w:hAnsiTheme="majorHAnsi" w:cs="Arial"/>
          <w:b/>
          <w:sz w:val="22"/>
          <w:szCs w:val="22"/>
          <w:lang w:val="fr-CH"/>
        </w:rPr>
      </w:pPr>
      <w:r w:rsidRPr="00C14D35">
        <w:rPr>
          <w:rFonts w:asciiTheme="majorHAnsi" w:hAnsiTheme="majorHAnsi"/>
          <w:b/>
          <w:i/>
          <w:sz w:val="22"/>
          <w:lang w:val="fr-CH"/>
        </w:rPr>
        <w:t xml:space="preserve">Changement de nom et </w:t>
      </w:r>
      <w:proofErr w:type="gramStart"/>
      <w:r w:rsidRPr="00C14D35">
        <w:rPr>
          <w:rFonts w:asciiTheme="majorHAnsi" w:hAnsiTheme="majorHAnsi"/>
          <w:b/>
          <w:i/>
          <w:sz w:val="22"/>
          <w:lang w:val="fr-CH"/>
        </w:rPr>
        <w:t>d’adresse:</w:t>
      </w:r>
      <w:proofErr w:type="gramEnd"/>
      <w:r w:rsidRPr="00C14D35">
        <w:rPr>
          <w:rFonts w:asciiTheme="majorHAnsi" w:hAnsiTheme="majorHAnsi"/>
          <w:sz w:val="22"/>
          <w:lang w:val="fr-CH"/>
        </w:rPr>
        <w:t xml:space="preserve"> veuillez communiquer sans délai tout changement de nom, d’adresse ou de domicile.</w:t>
      </w:r>
    </w:p>
    <w:p w14:paraId="782DFB6E" w14:textId="77777777" w:rsidR="00231C7D" w:rsidRPr="00C14D35" w:rsidRDefault="00231C7D" w:rsidP="00231C7D">
      <w:pPr>
        <w:pStyle w:val="Default"/>
        <w:numPr>
          <w:ilvl w:val="0"/>
          <w:numId w:val="6"/>
        </w:numPr>
        <w:spacing w:after="200" w:line="276" w:lineRule="auto"/>
        <w:jc w:val="both"/>
        <w:rPr>
          <w:rFonts w:asciiTheme="majorHAnsi" w:hAnsiTheme="majorHAnsi" w:cs="Arial"/>
          <w:sz w:val="22"/>
          <w:szCs w:val="22"/>
          <w:lang w:val="fr-CH"/>
        </w:rPr>
      </w:pPr>
      <w:r w:rsidRPr="00C14D35">
        <w:rPr>
          <w:rFonts w:asciiTheme="majorHAnsi" w:hAnsiTheme="majorHAnsi"/>
          <w:b/>
          <w:i/>
          <w:sz w:val="22"/>
          <w:lang w:val="fr-CH"/>
        </w:rPr>
        <w:t xml:space="preserve">Instructions </w:t>
      </w:r>
      <w:proofErr w:type="gramStart"/>
      <w:r w:rsidRPr="00C14D35">
        <w:rPr>
          <w:rFonts w:asciiTheme="majorHAnsi" w:hAnsiTheme="majorHAnsi"/>
          <w:b/>
          <w:i/>
          <w:sz w:val="22"/>
          <w:lang w:val="fr-CH"/>
        </w:rPr>
        <w:t>spéciales:</w:t>
      </w:r>
      <w:proofErr w:type="gramEnd"/>
      <w:r w:rsidRPr="00C14D35">
        <w:rPr>
          <w:rFonts w:asciiTheme="majorHAnsi" w:hAnsiTheme="majorHAnsi"/>
          <w:b/>
          <w:i/>
          <w:sz w:val="22"/>
          <w:lang w:val="fr-CH"/>
        </w:rPr>
        <w:t xml:space="preserve"> </w:t>
      </w:r>
      <w:r w:rsidRPr="00C14D35">
        <w:rPr>
          <w:rFonts w:asciiTheme="majorHAnsi" w:hAnsiTheme="majorHAnsi"/>
          <w:sz w:val="22"/>
          <w:lang w:val="fr-CH"/>
        </w:rPr>
        <w:t xml:space="preserve">informer des absences de longue durée et d’un éventuel transfert de correspondance à une autre adresse, </w:t>
      </w:r>
      <w:r w:rsidRPr="00C14D35">
        <w:rPr>
          <w:rFonts w:asciiTheme="majorHAnsi" w:hAnsiTheme="majorHAnsi"/>
          <w:color w:val="auto"/>
          <w:sz w:val="22"/>
          <w:lang w:val="fr-CH"/>
        </w:rPr>
        <w:t>ainsi que de la joignabilité pour les cas urgents pendant cette période.</w:t>
      </w:r>
      <w:r w:rsidRPr="00C14D35">
        <w:rPr>
          <w:rFonts w:asciiTheme="majorHAnsi" w:hAnsiTheme="majorHAnsi"/>
          <w:sz w:val="22"/>
          <w:lang w:val="fr-CH"/>
        </w:rPr>
        <w:t xml:space="preserve"> </w:t>
      </w:r>
    </w:p>
    <w:p w14:paraId="1713942A" w14:textId="77777777" w:rsidR="00231C7D" w:rsidRPr="00C14D35" w:rsidRDefault="00231C7D" w:rsidP="00231C7D">
      <w:pPr>
        <w:pStyle w:val="Default"/>
        <w:numPr>
          <w:ilvl w:val="0"/>
          <w:numId w:val="6"/>
        </w:numPr>
        <w:spacing w:after="200" w:line="276" w:lineRule="auto"/>
        <w:jc w:val="both"/>
        <w:rPr>
          <w:rFonts w:asciiTheme="majorHAnsi" w:hAnsiTheme="majorHAnsi" w:cs="Arial"/>
          <w:sz w:val="22"/>
          <w:szCs w:val="22"/>
          <w:lang w:val="fr-CH"/>
        </w:rPr>
      </w:pPr>
      <w:r w:rsidRPr="00C14D35">
        <w:rPr>
          <w:rFonts w:asciiTheme="majorHAnsi" w:hAnsiTheme="majorHAnsi"/>
          <w:b/>
          <w:i/>
          <w:sz w:val="22"/>
          <w:lang w:val="fr-CH"/>
        </w:rPr>
        <w:t xml:space="preserve">Octroi de </w:t>
      </w:r>
      <w:proofErr w:type="gramStart"/>
      <w:r w:rsidRPr="00C14D35">
        <w:rPr>
          <w:rFonts w:asciiTheme="majorHAnsi" w:hAnsiTheme="majorHAnsi"/>
          <w:b/>
          <w:i/>
          <w:sz w:val="22"/>
          <w:lang w:val="fr-CH"/>
        </w:rPr>
        <w:t>procurations:</w:t>
      </w:r>
      <w:proofErr w:type="gramEnd"/>
      <w:r w:rsidRPr="00C14D35">
        <w:rPr>
          <w:rFonts w:asciiTheme="majorHAnsi" w:hAnsiTheme="majorHAnsi"/>
          <w:sz w:val="22"/>
          <w:lang w:val="fr-CH"/>
        </w:rPr>
        <w:t xml:space="preserve"> il peut être recommandé de désigner une personne mandataire à laquelle le gestionnaire de fortune pourra s’adresser s’il perd le contact avec le client. </w:t>
      </w:r>
    </w:p>
    <w:p w14:paraId="6527C3A1" w14:textId="77777777" w:rsidR="00231C7D" w:rsidRPr="00C14D35" w:rsidRDefault="00231C7D" w:rsidP="00231C7D">
      <w:pPr>
        <w:pStyle w:val="Default"/>
        <w:numPr>
          <w:ilvl w:val="0"/>
          <w:numId w:val="6"/>
        </w:numPr>
        <w:spacing w:after="200" w:line="276" w:lineRule="auto"/>
        <w:ind w:left="714" w:hanging="357"/>
        <w:jc w:val="both"/>
        <w:rPr>
          <w:rFonts w:asciiTheme="majorHAnsi" w:hAnsiTheme="majorHAnsi" w:cs="Arial"/>
          <w:sz w:val="22"/>
          <w:szCs w:val="22"/>
          <w:lang w:val="fr-CH"/>
        </w:rPr>
      </w:pPr>
      <w:r w:rsidRPr="00C14D35">
        <w:rPr>
          <w:rFonts w:asciiTheme="majorHAnsi" w:hAnsiTheme="majorHAnsi"/>
          <w:b/>
          <w:i/>
          <w:sz w:val="22"/>
          <w:lang w:val="fr-CH"/>
        </w:rPr>
        <w:t xml:space="preserve">Information de personnes de confiance et </w:t>
      </w:r>
      <w:proofErr w:type="gramStart"/>
      <w:r w:rsidRPr="00C14D35">
        <w:rPr>
          <w:rFonts w:asciiTheme="majorHAnsi" w:hAnsiTheme="majorHAnsi"/>
          <w:b/>
          <w:i/>
          <w:sz w:val="22"/>
          <w:lang w:val="fr-CH"/>
        </w:rPr>
        <w:t>testament:</w:t>
      </w:r>
      <w:proofErr w:type="gramEnd"/>
      <w:r w:rsidRPr="00C14D35">
        <w:rPr>
          <w:rFonts w:asciiTheme="majorHAnsi" w:hAnsiTheme="majorHAnsi"/>
          <w:sz w:val="22"/>
          <w:lang w:val="fr-CH"/>
        </w:rPr>
        <w:t xml:space="preserve"> une autre possibilité pour éviter la perte de contact et la déshérence est d’informer une personne de confiance de la relation </w:t>
      </w:r>
      <w:r w:rsidRPr="00C14D35">
        <w:rPr>
          <w:rFonts w:asciiTheme="majorHAnsi" w:hAnsiTheme="majorHAnsi"/>
          <w:sz w:val="22"/>
          <w:lang w:val="fr-CH"/>
        </w:rPr>
        <w:lastRenderedPageBreak/>
        <w:t>avec le gestionnaire de fortune. Cependant, le gestionnaire de fortune ne peut communiquer des informations à une telle personne de confiance que si elle dispose d’une autorisation écrite. En outre, les valeurs patrimoniales concernées peuvent être mentionnées dans un testament.</w:t>
      </w:r>
    </w:p>
    <w:p w14:paraId="4188F66B" w14:textId="7D73D71A" w:rsidR="00231C7D" w:rsidRPr="00C14D35" w:rsidRDefault="00231C7D" w:rsidP="00231C7D">
      <w:pPr>
        <w:pStyle w:val="Default"/>
        <w:spacing w:after="200" w:line="276" w:lineRule="auto"/>
        <w:jc w:val="both"/>
        <w:rPr>
          <w:rFonts w:asciiTheme="majorHAnsi" w:hAnsiTheme="majorHAnsi" w:cs="Arial"/>
          <w:i/>
          <w:iCs/>
          <w:color w:val="auto"/>
          <w:sz w:val="20"/>
          <w:szCs w:val="20"/>
          <w:lang w:val="fr-CH"/>
        </w:rPr>
      </w:pPr>
      <w:r w:rsidRPr="00C14D35">
        <w:rPr>
          <w:rFonts w:asciiTheme="majorHAnsi" w:hAnsiTheme="majorHAnsi"/>
          <w:sz w:val="22"/>
          <w:lang w:val="fr-CH"/>
        </w:rPr>
        <w:t xml:space="preserve">Le gestionnaire de fortune répondra volontiers aux questions à ce sujet. </w:t>
      </w:r>
      <w:r w:rsidRPr="00C14D35">
        <w:rPr>
          <w:rFonts w:asciiTheme="majorHAnsi" w:hAnsiTheme="majorHAnsi"/>
          <w:color w:val="auto"/>
          <w:sz w:val="22"/>
          <w:lang w:val="fr-CH"/>
        </w:rPr>
        <w:t>La brochure</w:t>
      </w:r>
      <w:proofErr w:type="gramStart"/>
      <w:r w:rsidRPr="00C14D35">
        <w:rPr>
          <w:rFonts w:asciiTheme="majorHAnsi" w:hAnsiTheme="majorHAnsi"/>
          <w:color w:val="auto"/>
          <w:sz w:val="22"/>
          <w:lang w:val="fr-CH"/>
        </w:rPr>
        <w:t xml:space="preserve"> «Avoirs</w:t>
      </w:r>
      <w:proofErr w:type="gramEnd"/>
      <w:r w:rsidRPr="00C14D35">
        <w:rPr>
          <w:rFonts w:asciiTheme="majorHAnsi" w:hAnsiTheme="majorHAnsi"/>
          <w:color w:val="auto"/>
          <w:sz w:val="22"/>
          <w:lang w:val="fr-CH"/>
        </w:rPr>
        <w:t xml:space="preserve"> en déshérence» de l’Association suisse des banquiers fournit</w:t>
      </w:r>
      <w:r w:rsidRPr="00C14D35">
        <w:rPr>
          <w:rFonts w:asciiTheme="majorHAnsi" w:hAnsiTheme="majorHAnsi"/>
          <w:sz w:val="22"/>
          <w:lang w:val="fr-CH"/>
        </w:rPr>
        <w:t xml:space="preserve"> de plus amples informations à ce sujet.</w:t>
      </w:r>
      <w:r w:rsidRPr="00C14D35">
        <w:rPr>
          <w:rFonts w:asciiTheme="majorHAnsi" w:hAnsiTheme="majorHAnsi"/>
          <w:color w:val="auto"/>
          <w:sz w:val="22"/>
          <w:lang w:val="fr-CH"/>
        </w:rPr>
        <w:t xml:space="preserve"> Elle</w:t>
      </w:r>
      <w:r w:rsidR="0016206A">
        <w:rPr>
          <w:rFonts w:asciiTheme="majorHAnsi" w:hAnsiTheme="majorHAnsi"/>
          <w:color w:val="auto"/>
          <w:sz w:val="22"/>
          <w:lang w:val="fr-CH"/>
        </w:rPr>
        <w:t> </w:t>
      </w:r>
      <w:r w:rsidRPr="00C14D35">
        <w:rPr>
          <w:rFonts w:asciiTheme="majorHAnsi" w:hAnsiTheme="majorHAnsi"/>
          <w:color w:val="auto"/>
          <w:sz w:val="22"/>
          <w:lang w:val="fr-CH"/>
        </w:rPr>
        <w:t>peut</w:t>
      </w:r>
      <w:r w:rsidR="0016206A">
        <w:rPr>
          <w:rFonts w:asciiTheme="majorHAnsi" w:hAnsiTheme="majorHAnsi"/>
          <w:color w:val="auto"/>
          <w:sz w:val="22"/>
          <w:lang w:val="fr-CH"/>
        </w:rPr>
        <w:t> </w:t>
      </w:r>
      <w:r w:rsidRPr="00C14D35">
        <w:rPr>
          <w:rFonts w:asciiTheme="majorHAnsi" w:hAnsiTheme="majorHAnsi"/>
          <w:color w:val="auto"/>
          <w:sz w:val="22"/>
          <w:lang w:val="fr-CH"/>
        </w:rPr>
        <w:t>être</w:t>
      </w:r>
      <w:r w:rsidR="0016206A">
        <w:rPr>
          <w:rFonts w:asciiTheme="majorHAnsi" w:hAnsiTheme="majorHAnsi"/>
          <w:color w:val="auto"/>
          <w:sz w:val="22"/>
          <w:lang w:val="fr-CH"/>
        </w:rPr>
        <w:t> </w:t>
      </w:r>
      <w:r w:rsidRPr="00C14D35">
        <w:rPr>
          <w:rFonts w:asciiTheme="majorHAnsi" w:hAnsiTheme="majorHAnsi"/>
          <w:color w:val="auto"/>
          <w:sz w:val="22"/>
          <w:lang w:val="fr-CH"/>
        </w:rPr>
        <w:t>consultée</w:t>
      </w:r>
      <w:r w:rsidR="0016206A">
        <w:rPr>
          <w:rFonts w:asciiTheme="majorHAnsi" w:hAnsiTheme="majorHAnsi"/>
          <w:color w:val="auto"/>
          <w:sz w:val="22"/>
          <w:lang w:val="fr-CH"/>
        </w:rPr>
        <w:t> </w:t>
      </w:r>
      <w:r w:rsidRPr="00C14D35">
        <w:rPr>
          <w:rFonts w:asciiTheme="majorHAnsi" w:hAnsiTheme="majorHAnsi"/>
          <w:color w:val="auto"/>
          <w:sz w:val="22"/>
          <w:lang w:val="fr-CH"/>
        </w:rPr>
        <w:t>sur</w:t>
      </w:r>
      <w:r w:rsidR="0016206A">
        <w:rPr>
          <w:rFonts w:asciiTheme="majorHAnsi" w:hAnsiTheme="majorHAnsi"/>
          <w:color w:val="auto"/>
          <w:sz w:val="22"/>
          <w:lang w:val="fr-CH"/>
        </w:rPr>
        <w:t> </w:t>
      </w:r>
      <w:r w:rsidRPr="00C14D35">
        <w:rPr>
          <w:rFonts w:asciiTheme="majorHAnsi" w:hAnsiTheme="majorHAnsi"/>
          <w:color w:val="auto"/>
          <w:sz w:val="22"/>
          <w:lang w:val="fr-CH"/>
        </w:rPr>
        <w:t>Internet</w:t>
      </w:r>
      <w:r w:rsidR="0016206A">
        <w:rPr>
          <w:rFonts w:asciiTheme="majorHAnsi" w:hAnsiTheme="majorHAnsi"/>
          <w:color w:val="auto"/>
          <w:sz w:val="22"/>
          <w:lang w:val="fr-CH"/>
        </w:rPr>
        <w:t> </w:t>
      </w:r>
      <w:r w:rsidRPr="00C14D35">
        <w:rPr>
          <w:rFonts w:asciiTheme="majorHAnsi" w:hAnsiTheme="majorHAnsi"/>
          <w:color w:val="auto"/>
          <w:sz w:val="22"/>
          <w:lang w:val="fr-CH"/>
        </w:rPr>
        <w:t>à</w:t>
      </w:r>
      <w:r w:rsidR="0016206A">
        <w:rPr>
          <w:rFonts w:asciiTheme="majorHAnsi" w:hAnsiTheme="majorHAnsi"/>
          <w:color w:val="auto"/>
          <w:sz w:val="22"/>
          <w:lang w:val="fr-CH"/>
        </w:rPr>
        <w:t> </w:t>
      </w:r>
      <w:proofErr w:type="gramStart"/>
      <w:r w:rsidRPr="00C14D35">
        <w:rPr>
          <w:rFonts w:asciiTheme="majorHAnsi" w:hAnsiTheme="majorHAnsi"/>
          <w:color w:val="auto"/>
          <w:sz w:val="22"/>
          <w:lang w:val="fr-CH"/>
        </w:rPr>
        <w:t>l’adresse:</w:t>
      </w:r>
      <w:proofErr w:type="gramEnd"/>
      <w:r w:rsidRPr="00C14D35">
        <w:rPr>
          <w:rFonts w:asciiTheme="majorHAnsi" w:hAnsiTheme="majorHAnsi"/>
          <w:color w:val="auto"/>
          <w:sz w:val="22"/>
          <w:lang w:val="fr-CH"/>
        </w:rPr>
        <w:t xml:space="preserve"> </w:t>
      </w:r>
      <w:r w:rsidRPr="00C14D35">
        <w:rPr>
          <w:rFonts w:asciiTheme="majorHAnsi" w:hAnsiTheme="majorHAnsi"/>
          <w:i/>
          <w:color w:val="auto"/>
          <w:sz w:val="20"/>
          <w:lang w:val="fr-CH"/>
        </w:rPr>
        <w:t>https://www.swissbanking.ch/_Resources/Persistent/8/d/6/e/8d6e0cdd1a4c63d825be63b96d952dac2a17d780/ASB_Informations_sur_le_client_Avoirs_en_d%C3%A9sh%C3%A9rence_2015_FR.pdf</w:t>
      </w:r>
    </w:p>
    <w:p w14:paraId="3E62352C" w14:textId="77777777" w:rsidR="00231C7D" w:rsidRPr="00C14D35" w:rsidRDefault="00231C7D" w:rsidP="00231C7D">
      <w:pPr>
        <w:pStyle w:val="berschrift2"/>
        <w:ind w:left="567" w:hanging="567"/>
        <w:rPr>
          <w:lang w:val="fr-CH"/>
        </w:rPr>
      </w:pPr>
      <w:bookmarkStart w:id="21" w:name="_Toc75440061"/>
      <w:r w:rsidRPr="00C14D35">
        <w:rPr>
          <w:lang w:val="fr-CH"/>
        </w:rPr>
        <w:t>Plaintes de clients/organe de médiation</w:t>
      </w:r>
      <w:bookmarkEnd w:id="21"/>
    </w:p>
    <w:p w14:paraId="589EABB4" w14:textId="347D1428" w:rsidR="00231C7D" w:rsidRPr="00C14D35" w:rsidRDefault="00231C7D" w:rsidP="00231C7D">
      <w:pPr>
        <w:pStyle w:val="Default"/>
        <w:spacing w:after="200" w:line="276" w:lineRule="auto"/>
        <w:jc w:val="both"/>
        <w:rPr>
          <w:rFonts w:asciiTheme="majorHAnsi" w:hAnsiTheme="majorHAnsi" w:cs="Arial"/>
          <w:sz w:val="22"/>
          <w:szCs w:val="22"/>
          <w:lang w:val="fr-CH"/>
        </w:rPr>
      </w:pPr>
      <w:r w:rsidRPr="00C14D35">
        <w:rPr>
          <w:rFonts w:asciiTheme="majorHAnsi" w:hAnsiTheme="majorHAnsi"/>
          <w:sz w:val="22"/>
          <w:lang w:val="fr-CH"/>
        </w:rPr>
        <w:t xml:space="preserve">La </w:t>
      </w:r>
      <w:r w:rsidRPr="00C14D35">
        <w:rPr>
          <w:rFonts w:asciiTheme="majorHAnsi" w:hAnsiTheme="majorHAnsi"/>
          <w:smallCaps/>
          <w:sz w:val="22"/>
          <w:lang w:val="fr-CH"/>
        </w:rPr>
        <w:t>société</w:t>
      </w:r>
      <w:r w:rsidRPr="00C14D35">
        <w:rPr>
          <w:rFonts w:asciiTheme="majorHAnsi" w:hAnsiTheme="majorHAnsi"/>
          <w:sz w:val="22"/>
          <w:lang w:val="fr-CH"/>
        </w:rPr>
        <w:t xml:space="preserve"> traite les plaintes des clients avec tout le sérieux qui s’impose. Nous demandons à des personnes non impliquées dans l</w:t>
      </w:r>
      <w:r w:rsidR="00CE2D0D">
        <w:rPr>
          <w:rFonts w:asciiTheme="majorHAnsi" w:hAnsiTheme="majorHAnsi"/>
          <w:sz w:val="22"/>
          <w:lang w:val="fr-CH"/>
        </w:rPr>
        <w:t>a</w:t>
      </w:r>
      <w:r w:rsidRPr="00C14D35">
        <w:rPr>
          <w:rFonts w:asciiTheme="majorHAnsi" w:hAnsiTheme="majorHAnsi"/>
          <w:sz w:val="22"/>
          <w:lang w:val="fr-CH"/>
        </w:rPr>
        <w:t xml:space="preserve"> relation d’affaires de vérifier et d’évaluer les plaintes en interne. Les clients qui ne sont pas satisfaits de la manière dont leur plainte est traitée ou du résultat de l’évaluation de la plainte peuvent introduire une procédure de médiation gratuite auprès de l’organe compétent en ce qui nous concerne. La </w:t>
      </w:r>
      <w:r w:rsidRPr="00C14D35">
        <w:rPr>
          <w:rFonts w:asciiTheme="majorHAnsi" w:hAnsiTheme="majorHAnsi"/>
          <w:smallCaps/>
          <w:sz w:val="22"/>
          <w:lang w:val="fr-CH"/>
        </w:rPr>
        <w:t>société</w:t>
      </w:r>
      <w:r w:rsidRPr="00C14D35">
        <w:rPr>
          <w:rFonts w:asciiTheme="majorHAnsi" w:hAnsiTheme="majorHAnsi"/>
          <w:sz w:val="22"/>
          <w:lang w:val="fr-CH"/>
        </w:rPr>
        <w:t xml:space="preserve"> est rattachée à l’organe de médiation OFS, </w:t>
      </w:r>
      <w:proofErr w:type="spellStart"/>
      <w:r w:rsidRPr="00C14D35">
        <w:rPr>
          <w:rFonts w:asciiTheme="majorHAnsi" w:hAnsiTheme="majorHAnsi"/>
          <w:sz w:val="22"/>
          <w:lang w:val="fr-CH"/>
        </w:rPr>
        <w:t>Ombud</w:t>
      </w:r>
      <w:proofErr w:type="spellEnd"/>
      <w:r w:rsidRPr="00C14D35">
        <w:rPr>
          <w:rFonts w:asciiTheme="majorHAnsi" w:hAnsiTheme="majorHAnsi"/>
          <w:sz w:val="22"/>
          <w:lang w:val="fr-CH"/>
        </w:rPr>
        <w:t xml:space="preserve"> Finance </w:t>
      </w:r>
      <w:proofErr w:type="spellStart"/>
      <w:r w:rsidRPr="00C14D35">
        <w:rPr>
          <w:rFonts w:asciiTheme="majorHAnsi" w:hAnsiTheme="majorHAnsi"/>
          <w:sz w:val="22"/>
          <w:lang w:val="fr-CH"/>
        </w:rPr>
        <w:t>Switzerland</w:t>
      </w:r>
      <w:proofErr w:type="spellEnd"/>
      <w:r w:rsidRPr="00C14D35">
        <w:rPr>
          <w:rFonts w:asciiTheme="majorHAnsi" w:hAnsiTheme="majorHAnsi"/>
          <w:sz w:val="22"/>
          <w:lang w:val="fr-CH"/>
        </w:rPr>
        <w:t>, Rue du Conseil Général</w:t>
      </w:r>
      <w:r w:rsidR="0038021C">
        <w:rPr>
          <w:rFonts w:asciiTheme="majorHAnsi" w:hAnsiTheme="majorHAnsi"/>
          <w:sz w:val="22"/>
          <w:lang w:val="fr-CH"/>
        </w:rPr>
        <w:t> </w:t>
      </w:r>
      <w:r w:rsidRPr="00C14D35">
        <w:rPr>
          <w:rFonts w:asciiTheme="majorHAnsi" w:hAnsiTheme="majorHAnsi"/>
          <w:sz w:val="22"/>
          <w:lang w:val="fr-CH"/>
        </w:rPr>
        <w:t>10, 1205</w:t>
      </w:r>
      <w:r w:rsidR="0038021C">
        <w:rPr>
          <w:rFonts w:asciiTheme="majorHAnsi" w:hAnsiTheme="majorHAnsi"/>
          <w:sz w:val="22"/>
          <w:lang w:val="fr-CH"/>
        </w:rPr>
        <w:t> </w:t>
      </w:r>
      <w:r w:rsidRPr="00C14D35">
        <w:rPr>
          <w:rFonts w:asciiTheme="majorHAnsi" w:hAnsiTheme="majorHAnsi"/>
          <w:sz w:val="22"/>
          <w:lang w:val="fr-CH"/>
        </w:rPr>
        <w:t xml:space="preserve">Genève. Les procédures de résolution des différends peuvent être menées en français, en allemand, en italien ou en anglais. </w:t>
      </w:r>
    </w:p>
    <w:p w14:paraId="5A2E069C" w14:textId="77777777" w:rsidR="00231C7D" w:rsidRPr="00C14D35" w:rsidRDefault="00231C7D" w:rsidP="00231C7D">
      <w:pPr>
        <w:pStyle w:val="berschrift2"/>
        <w:ind w:left="567"/>
        <w:rPr>
          <w:lang w:val="fr-CH"/>
        </w:rPr>
      </w:pPr>
      <w:r w:rsidRPr="00C14D35">
        <w:rPr>
          <w:lang w:val="fr-CH"/>
        </w:rPr>
        <w:t xml:space="preserve"> </w:t>
      </w:r>
      <w:bookmarkStart w:id="22" w:name="_Toc75440062"/>
      <w:r w:rsidRPr="00C14D35">
        <w:rPr>
          <w:lang w:val="fr-CH"/>
        </w:rPr>
        <w:t>Informations complémentaires</w:t>
      </w:r>
      <w:bookmarkEnd w:id="22"/>
    </w:p>
    <w:p w14:paraId="32C06FEE" w14:textId="77777777" w:rsidR="00231C7D" w:rsidRPr="00C14D35" w:rsidRDefault="00231C7D" w:rsidP="00231C7D">
      <w:pPr>
        <w:jc w:val="both"/>
        <w:rPr>
          <w:rFonts w:asciiTheme="majorHAnsi" w:hAnsiTheme="majorHAnsi"/>
          <w:lang w:val="fr-CH"/>
        </w:rPr>
      </w:pPr>
      <w:r w:rsidRPr="00C14D35">
        <w:rPr>
          <w:rFonts w:asciiTheme="majorHAnsi" w:hAnsiTheme="majorHAnsi"/>
          <w:lang w:val="fr-CH"/>
        </w:rPr>
        <w:t>Sur simple demande, le gestionnaire de fortune vous fournira volontiers de plus amples informations sur les éventuels conflits d’intérêts liés aux prestations qu’il vous apporte et sur les mesures prises pour assurer la protection du client.</w:t>
      </w:r>
    </w:p>
    <w:p w14:paraId="1B92CE76" w14:textId="77777777" w:rsidR="00231C7D" w:rsidRPr="00C14D35" w:rsidRDefault="00231C7D" w:rsidP="00231C7D">
      <w:pPr>
        <w:jc w:val="both"/>
        <w:rPr>
          <w:rFonts w:asciiTheme="majorHAnsi" w:hAnsiTheme="majorHAnsi"/>
          <w:lang w:val="fr-CH"/>
        </w:rPr>
      </w:pPr>
    </w:p>
    <w:p w14:paraId="587864D8" w14:textId="77777777" w:rsidR="00780C84" w:rsidRPr="00C14D35" w:rsidRDefault="00780C84" w:rsidP="00231C7D">
      <w:pPr>
        <w:rPr>
          <w:lang w:val="fr-CH"/>
        </w:rPr>
      </w:pPr>
    </w:p>
    <w:sectPr w:rsidR="00780C84" w:rsidRPr="00C14D35" w:rsidSect="00FE5E9D">
      <w:headerReference w:type="default" r:id="rId11"/>
      <w:footerReference w:type="default" r:id="rId12"/>
      <w:pgSz w:w="11906" w:h="16838" w:code="9"/>
      <w:pgMar w:top="1985" w:right="1418" w:bottom="1418"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9228" w14:textId="77777777" w:rsidR="00FE5E9D" w:rsidRDefault="00FE5E9D" w:rsidP="00B10F1C">
      <w:pPr>
        <w:spacing w:after="0" w:line="240" w:lineRule="auto"/>
      </w:pPr>
      <w:r>
        <w:separator/>
      </w:r>
    </w:p>
  </w:endnote>
  <w:endnote w:type="continuationSeparator" w:id="0">
    <w:p w14:paraId="0AAC262D" w14:textId="77777777" w:rsidR="00FE5E9D" w:rsidRDefault="00FE5E9D" w:rsidP="00B1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09590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829484" w14:textId="6C28F083" w:rsidR="00430AAE" w:rsidRPr="009012A8" w:rsidRDefault="00430AAE">
            <w:pPr>
              <w:pStyle w:val="Fuzeile"/>
              <w:jc w:val="right"/>
              <w:rPr>
                <w:sz w:val="16"/>
                <w:szCs w:val="16"/>
              </w:rPr>
            </w:pPr>
            <w:r w:rsidRPr="009012A8">
              <w:rPr>
                <w:noProof/>
                <w:sz w:val="16"/>
                <w:szCs w:val="16"/>
                <w:lang w:eastAsia="de-CH"/>
              </w:rPr>
              <mc:AlternateContent>
                <mc:Choice Requires="wps">
                  <w:drawing>
                    <wp:anchor distT="0" distB="0" distL="114300" distR="114300" simplePos="0" relativeHeight="251657728" behindDoc="0" locked="0" layoutInCell="1" allowOverlap="1" wp14:anchorId="47A1B671" wp14:editId="21E0EFBC">
                      <wp:simplePos x="0" y="0"/>
                      <wp:positionH relativeFrom="column">
                        <wp:posOffset>-147955</wp:posOffset>
                      </wp:positionH>
                      <wp:positionV relativeFrom="paragraph">
                        <wp:posOffset>-28575</wp:posOffset>
                      </wp:positionV>
                      <wp:extent cx="1905000" cy="352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905000" cy="352425"/>
                              </a:xfrm>
                              <a:prstGeom prst="rect">
                                <a:avLst/>
                              </a:prstGeom>
                              <a:solidFill>
                                <a:schemeClr val="lt1"/>
                              </a:solidFill>
                              <a:ln w="6350">
                                <a:noFill/>
                              </a:ln>
                            </wps:spPr>
                            <wps:txbx>
                              <w:txbxContent>
                                <w:p w14:paraId="163BFD0C" w14:textId="557D0CF4" w:rsidR="00430AAE" w:rsidRPr="009012A8" w:rsidRDefault="00C80114">
                                  <w:pPr>
                                    <w:rPr>
                                      <w:sz w:val="16"/>
                                      <w:szCs w:val="16"/>
                                    </w:rPr>
                                  </w:pPr>
                                  <w:r>
                                    <w:rPr>
                                      <w:sz w:val="16"/>
                                      <w:szCs w:val="16"/>
                                    </w:rPr>
                                    <w:t>État</w:t>
                                  </w:r>
                                  <w:r w:rsidR="00430AAE" w:rsidRPr="009012A8">
                                    <w:rPr>
                                      <w:sz w:val="16"/>
                                      <w:szCs w:val="16"/>
                                    </w:rPr>
                                    <w:t xml:space="preserve"> </w:t>
                                  </w:r>
                                  <w:r w:rsidR="001067B9">
                                    <w:rPr>
                                      <w:sz w:val="16"/>
                                      <w:szCs w:val="16"/>
                                    </w:rPr>
                                    <w:t>7</w:t>
                                  </w:r>
                                  <w:r w:rsidR="00430AAE" w:rsidRPr="009012A8">
                                    <w:rPr>
                                      <w:sz w:val="16"/>
                                      <w:szCs w:val="16"/>
                                    </w:rPr>
                                    <w:t>.</w:t>
                                  </w:r>
                                  <w:r w:rsidR="001067B9">
                                    <w:rPr>
                                      <w:sz w:val="16"/>
                                      <w:szCs w:val="16"/>
                                    </w:rPr>
                                    <w:t>6</w:t>
                                  </w:r>
                                  <w:r w:rsidR="00430AAE" w:rsidRPr="009012A8">
                                    <w:rPr>
                                      <w:sz w:val="16"/>
                                      <w:szCs w:val="1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A1B671" id="_x0000_t202" coordsize="21600,21600" o:spt="202" path="m,l,21600r21600,l21600,xe">
                      <v:stroke joinstyle="miter"/>
                      <v:path gradientshapeok="t" o:connecttype="rect"/>
                    </v:shapetype>
                    <v:shape id="Textfeld 2" o:spid="_x0000_s1026" type="#_x0000_t202" style="position:absolute;left:0;text-align:left;margin-left:-11.65pt;margin-top:-2.25pt;width:150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FLKw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" fillcolor="white [3201]" stroked="f" strokeweight=".5pt">
                      <v:textbox>
                        <w:txbxContent>
                          <w:p w14:paraId="163BFD0C" w14:textId="557D0CF4" w:rsidR="00430AAE" w:rsidRPr="009012A8" w:rsidRDefault="00C80114">
                            <w:pPr>
                              <w:rPr>
                                <w:sz w:val="16"/>
                                <w:szCs w:val="16"/>
                              </w:rPr>
                            </w:pPr>
                            <w:r>
                              <w:rPr>
                                <w:sz w:val="16"/>
                                <w:szCs w:val="16"/>
                              </w:rPr>
                              <w:t>État</w:t>
                            </w:r>
                            <w:r w:rsidR="00430AAE" w:rsidRPr="009012A8">
                              <w:rPr>
                                <w:sz w:val="16"/>
                                <w:szCs w:val="16"/>
                              </w:rPr>
                              <w:t xml:space="preserve"> </w:t>
                            </w:r>
                            <w:r w:rsidR="001067B9">
                              <w:rPr>
                                <w:sz w:val="16"/>
                                <w:szCs w:val="16"/>
                              </w:rPr>
                              <w:t>7</w:t>
                            </w:r>
                            <w:r w:rsidR="00430AAE" w:rsidRPr="009012A8">
                              <w:rPr>
                                <w:sz w:val="16"/>
                                <w:szCs w:val="16"/>
                              </w:rPr>
                              <w:t>.</w:t>
                            </w:r>
                            <w:r w:rsidR="001067B9">
                              <w:rPr>
                                <w:sz w:val="16"/>
                                <w:szCs w:val="16"/>
                              </w:rPr>
                              <w:t>6</w:t>
                            </w:r>
                            <w:r w:rsidR="00430AAE" w:rsidRPr="009012A8">
                              <w:rPr>
                                <w:sz w:val="16"/>
                                <w:szCs w:val="16"/>
                              </w:rPr>
                              <w:t>.2021</w:t>
                            </w:r>
                          </w:p>
                        </w:txbxContent>
                      </v:textbox>
                    </v:shape>
                  </w:pict>
                </mc:Fallback>
              </mc:AlternateContent>
            </w:r>
            <w:r w:rsidRPr="009012A8">
              <w:rPr>
                <w:sz w:val="16"/>
                <w:szCs w:val="16"/>
              </w:rPr>
              <w:fldChar w:fldCharType="begin"/>
            </w:r>
            <w:r w:rsidRPr="009012A8">
              <w:rPr>
                <w:sz w:val="16"/>
                <w:szCs w:val="16"/>
              </w:rPr>
              <w:instrText>PAGE</w:instrText>
            </w:r>
            <w:r w:rsidRPr="009012A8">
              <w:rPr>
                <w:sz w:val="16"/>
                <w:szCs w:val="16"/>
              </w:rPr>
              <w:fldChar w:fldCharType="separate"/>
            </w:r>
            <w:r w:rsidR="00DC6C8B">
              <w:rPr>
                <w:noProof/>
                <w:sz w:val="16"/>
                <w:szCs w:val="16"/>
              </w:rPr>
              <w:t>11</w:t>
            </w:r>
            <w:r w:rsidRPr="009012A8">
              <w:rPr>
                <w:sz w:val="16"/>
                <w:szCs w:val="16"/>
              </w:rPr>
              <w:fldChar w:fldCharType="end"/>
            </w:r>
            <w:r w:rsidRPr="009012A8">
              <w:rPr>
                <w:sz w:val="16"/>
                <w:szCs w:val="16"/>
              </w:rPr>
              <w:t>/</w:t>
            </w:r>
            <w:r w:rsidRPr="009012A8">
              <w:rPr>
                <w:sz w:val="16"/>
                <w:szCs w:val="16"/>
                <w:lang w:val="de-DE"/>
              </w:rPr>
              <w:t xml:space="preserve"> </w:t>
            </w:r>
            <w:r w:rsidRPr="009012A8">
              <w:rPr>
                <w:sz w:val="16"/>
                <w:szCs w:val="16"/>
              </w:rPr>
              <w:fldChar w:fldCharType="begin"/>
            </w:r>
            <w:r w:rsidRPr="009012A8">
              <w:rPr>
                <w:sz w:val="16"/>
                <w:szCs w:val="16"/>
              </w:rPr>
              <w:instrText>NUMPAGES</w:instrText>
            </w:r>
            <w:r w:rsidRPr="009012A8">
              <w:rPr>
                <w:sz w:val="16"/>
                <w:szCs w:val="16"/>
              </w:rPr>
              <w:fldChar w:fldCharType="separate"/>
            </w:r>
            <w:r w:rsidR="00DC6C8B">
              <w:rPr>
                <w:noProof/>
                <w:sz w:val="16"/>
                <w:szCs w:val="16"/>
              </w:rPr>
              <w:t>11</w:t>
            </w:r>
            <w:r w:rsidRPr="009012A8">
              <w:rPr>
                <w:sz w:val="16"/>
                <w:szCs w:val="16"/>
              </w:rPr>
              <w:fldChar w:fldCharType="end"/>
            </w:r>
          </w:p>
        </w:sdtContent>
      </w:sdt>
    </w:sdtContent>
  </w:sdt>
  <w:p w14:paraId="25886784" w14:textId="77777777" w:rsidR="00430AAE" w:rsidRPr="006A2590" w:rsidRDefault="00430AAE" w:rsidP="009012A8">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E480" w14:textId="77777777" w:rsidR="00FE5E9D" w:rsidRDefault="00FE5E9D" w:rsidP="00B10F1C">
      <w:pPr>
        <w:spacing w:after="0" w:line="240" w:lineRule="auto"/>
      </w:pPr>
      <w:r>
        <w:separator/>
      </w:r>
    </w:p>
  </w:footnote>
  <w:footnote w:type="continuationSeparator" w:id="0">
    <w:p w14:paraId="5681DA16" w14:textId="77777777" w:rsidR="00FE5E9D" w:rsidRDefault="00FE5E9D" w:rsidP="00B1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28BA" w14:textId="3A509607" w:rsidR="00430AAE" w:rsidRDefault="00430AAE" w:rsidP="00205C08">
    <w:pPr>
      <w:pStyle w:val="Kopfzeile"/>
      <w:tabs>
        <w:tab w:val="clear" w:pos="4536"/>
      </w:tabs>
    </w:pPr>
    <w:r>
      <w:rPr>
        <w:noProof/>
        <w:lang w:eastAsia="de-CH"/>
      </w:rPr>
      <w:drawing>
        <wp:anchor distT="0" distB="0" distL="114300" distR="114300" simplePos="0" relativeHeight="251656704" behindDoc="1" locked="0" layoutInCell="1" allowOverlap="1" wp14:anchorId="578A053A" wp14:editId="64F76FEA">
          <wp:simplePos x="0" y="0"/>
          <wp:positionH relativeFrom="column">
            <wp:posOffset>-509905</wp:posOffset>
          </wp:positionH>
          <wp:positionV relativeFrom="paragraph">
            <wp:posOffset>6985</wp:posOffset>
          </wp:positionV>
          <wp:extent cx="1724025" cy="969010"/>
          <wp:effectExtent l="0" t="0" r="9525" b="2540"/>
          <wp:wrapTight wrapText="bothSides">
            <wp:wrapPolygon edited="0">
              <wp:start x="0" y="0"/>
              <wp:lineTo x="0" y="21232"/>
              <wp:lineTo x="21481" y="21232"/>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6B9"/>
    <w:multiLevelType w:val="hybridMultilevel"/>
    <w:tmpl w:val="6058A3AE"/>
    <w:lvl w:ilvl="0" w:tplc="7B0E4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D2276E"/>
    <w:multiLevelType w:val="multilevel"/>
    <w:tmpl w:val="737E0DA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lowerLetter"/>
      <w:lvlText w:val="%5)"/>
      <w:lvlJc w:val="left"/>
      <w:pPr>
        <w:tabs>
          <w:tab w:val="num" w:pos="595"/>
        </w:tabs>
        <w:ind w:left="595" w:hanging="595"/>
      </w:pPr>
    </w:lvl>
    <w:lvl w:ilvl="5">
      <w:start w:val="1"/>
      <w:numFmt w:val="lowerRoman"/>
      <w:lvlText w:val="%6)"/>
      <w:lvlJc w:val="left"/>
      <w:pPr>
        <w:tabs>
          <w:tab w:val="num" w:pos="595"/>
        </w:tabs>
        <w:ind w:left="595" w:hanging="595"/>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8C7738B"/>
    <w:multiLevelType w:val="hybridMultilevel"/>
    <w:tmpl w:val="927C42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525F10"/>
    <w:multiLevelType w:val="hybridMultilevel"/>
    <w:tmpl w:val="A5FC2100"/>
    <w:lvl w:ilvl="0" w:tplc="74DA35F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E82709"/>
    <w:multiLevelType w:val="multilevel"/>
    <w:tmpl w:val="11E00762"/>
    <w:lvl w:ilvl="0">
      <w:start w:val="1"/>
      <w:numFmt w:val="decimal"/>
      <w:pStyle w:val="berschrift1"/>
      <w:lvlText w:val="%1"/>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860" w:hanging="576"/>
      </w:pPr>
      <w:rPr>
        <w:b/>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639400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7A39CD"/>
    <w:multiLevelType w:val="hybridMultilevel"/>
    <w:tmpl w:val="110EACD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06808152">
    <w:abstractNumId w:val="6"/>
  </w:num>
  <w:num w:numId="2" w16cid:durableId="2019967953">
    <w:abstractNumId w:val="0"/>
  </w:num>
  <w:num w:numId="3" w16cid:durableId="458569989">
    <w:abstractNumId w:val="5"/>
  </w:num>
  <w:num w:numId="4" w16cid:durableId="820999286">
    <w:abstractNumId w:val="1"/>
  </w:num>
  <w:num w:numId="5" w16cid:durableId="724064969">
    <w:abstractNumId w:val="4"/>
  </w:num>
  <w:num w:numId="6" w16cid:durableId="798110634">
    <w:abstractNumId w:val="3"/>
  </w:num>
  <w:num w:numId="7" w16cid:durableId="1856337027">
    <w:abstractNumId w:val="2"/>
  </w:num>
  <w:num w:numId="8" w16cid:durableId="840319587">
    <w:abstractNumId w:val="4"/>
  </w:num>
  <w:num w:numId="9" w16cid:durableId="11718685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4446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96"/>
    <w:rsid w:val="000100CE"/>
    <w:rsid w:val="00017B42"/>
    <w:rsid w:val="00027DBE"/>
    <w:rsid w:val="00054B40"/>
    <w:rsid w:val="00054B5C"/>
    <w:rsid w:val="00055423"/>
    <w:rsid w:val="0006383F"/>
    <w:rsid w:val="00074F19"/>
    <w:rsid w:val="00075594"/>
    <w:rsid w:val="00085F6F"/>
    <w:rsid w:val="0008740B"/>
    <w:rsid w:val="000B6632"/>
    <w:rsid w:val="000B7C05"/>
    <w:rsid w:val="000C7CBF"/>
    <w:rsid w:val="000E7C62"/>
    <w:rsid w:val="00100896"/>
    <w:rsid w:val="001067B9"/>
    <w:rsid w:val="0011175C"/>
    <w:rsid w:val="00117825"/>
    <w:rsid w:val="0015374E"/>
    <w:rsid w:val="0016206A"/>
    <w:rsid w:val="0018037D"/>
    <w:rsid w:val="00184A64"/>
    <w:rsid w:val="001939E8"/>
    <w:rsid w:val="001A05D7"/>
    <w:rsid w:val="001A1A90"/>
    <w:rsid w:val="002005F8"/>
    <w:rsid w:val="00205C08"/>
    <w:rsid w:val="00231C7D"/>
    <w:rsid w:val="0024241E"/>
    <w:rsid w:val="002461A8"/>
    <w:rsid w:val="00261748"/>
    <w:rsid w:val="00274D82"/>
    <w:rsid w:val="00275852"/>
    <w:rsid w:val="0028336C"/>
    <w:rsid w:val="002A6126"/>
    <w:rsid w:val="002C2153"/>
    <w:rsid w:val="002C36F1"/>
    <w:rsid w:val="002C4D79"/>
    <w:rsid w:val="002C661F"/>
    <w:rsid w:val="002D393B"/>
    <w:rsid w:val="002E2A86"/>
    <w:rsid w:val="00303F7B"/>
    <w:rsid w:val="00356296"/>
    <w:rsid w:val="0038021C"/>
    <w:rsid w:val="003908E0"/>
    <w:rsid w:val="003A2CC0"/>
    <w:rsid w:val="003C3A98"/>
    <w:rsid w:val="003D0CF8"/>
    <w:rsid w:val="003D4328"/>
    <w:rsid w:val="00404487"/>
    <w:rsid w:val="00405409"/>
    <w:rsid w:val="0040562F"/>
    <w:rsid w:val="00424CA2"/>
    <w:rsid w:val="00430AAE"/>
    <w:rsid w:val="00463520"/>
    <w:rsid w:val="004701C4"/>
    <w:rsid w:val="004731BB"/>
    <w:rsid w:val="00475E4F"/>
    <w:rsid w:val="00477F35"/>
    <w:rsid w:val="00484927"/>
    <w:rsid w:val="0048492D"/>
    <w:rsid w:val="00485004"/>
    <w:rsid w:val="004937D7"/>
    <w:rsid w:val="004C1EDA"/>
    <w:rsid w:val="004D078A"/>
    <w:rsid w:val="004E6670"/>
    <w:rsid w:val="005171BB"/>
    <w:rsid w:val="00520A64"/>
    <w:rsid w:val="0055162C"/>
    <w:rsid w:val="005528D5"/>
    <w:rsid w:val="0059644E"/>
    <w:rsid w:val="005D3052"/>
    <w:rsid w:val="005D5F4C"/>
    <w:rsid w:val="00632F66"/>
    <w:rsid w:val="00642ED8"/>
    <w:rsid w:val="00665AD5"/>
    <w:rsid w:val="006A2590"/>
    <w:rsid w:val="006A67F1"/>
    <w:rsid w:val="006B5BD4"/>
    <w:rsid w:val="006E78A4"/>
    <w:rsid w:val="006F402A"/>
    <w:rsid w:val="006F7208"/>
    <w:rsid w:val="00712406"/>
    <w:rsid w:val="00714BBC"/>
    <w:rsid w:val="00721288"/>
    <w:rsid w:val="00780C84"/>
    <w:rsid w:val="0079320F"/>
    <w:rsid w:val="00794089"/>
    <w:rsid w:val="007A2E5C"/>
    <w:rsid w:val="007C3563"/>
    <w:rsid w:val="007D0381"/>
    <w:rsid w:val="0082022E"/>
    <w:rsid w:val="008510DF"/>
    <w:rsid w:val="00877C2E"/>
    <w:rsid w:val="008A5677"/>
    <w:rsid w:val="008B3E94"/>
    <w:rsid w:val="008B4AC4"/>
    <w:rsid w:val="008D0D24"/>
    <w:rsid w:val="008F3429"/>
    <w:rsid w:val="008F7135"/>
    <w:rsid w:val="009012A8"/>
    <w:rsid w:val="009219DB"/>
    <w:rsid w:val="0093307F"/>
    <w:rsid w:val="009361CC"/>
    <w:rsid w:val="00941AB6"/>
    <w:rsid w:val="00952054"/>
    <w:rsid w:val="00983D9F"/>
    <w:rsid w:val="009A13AA"/>
    <w:rsid w:val="009A38BB"/>
    <w:rsid w:val="00A2233A"/>
    <w:rsid w:val="00A6680D"/>
    <w:rsid w:val="00A67CD6"/>
    <w:rsid w:val="00A77ED9"/>
    <w:rsid w:val="00A86E95"/>
    <w:rsid w:val="00AA115F"/>
    <w:rsid w:val="00AC61A8"/>
    <w:rsid w:val="00AF5745"/>
    <w:rsid w:val="00B10F1C"/>
    <w:rsid w:val="00B21E96"/>
    <w:rsid w:val="00B33567"/>
    <w:rsid w:val="00B44A5B"/>
    <w:rsid w:val="00B901C0"/>
    <w:rsid w:val="00B91131"/>
    <w:rsid w:val="00B94828"/>
    <w:rsid w:val="00BA21CD"/>
    <w:rsid w:val="00BD508D"/>
    <w:rsid w:val="00BF0AD6"/>
    <w:rsid w:val="00C06493"/>
    <w:rsid w:val="00C14D35"/>
    <w:rsid w:val="00C24BC6"/>
    <w:rsid w:val="00C3762C"/>
    <w:rsid w:val="00C55D1B"/>
    <w:rsid w:val="00C80114"/>
    <w:rsid w:val="00C856AD"/>
    <w:rsid w:val="00C92876"/>
    <w:rsid w:val="00CA5308"/>
    <w:rsid w:val="00CC29EC"/>
    <w:rsid w:val="00CC66FC"/>
    <w:rsid w:val="00CD00B9"/>
    <w:rsid w:val="00CE2D0D"/>
    <w:rsid w:val="00D158FA"/>
    <w:rsid w:val="00D31901"/>
    <w:rsid w:val="00D86497"/>
    <w:rsid w:val="00DC4021"/>
    <w:rsid w:val="00DC6C8B"/>
    <w:rsid w:val="00DE1B07"/>
    <w:rsid w:val="00DE6E9C"/>
    <w:rsid w:val="00E152F2"/>
    <w:rsid w:val="00E26B85"/>
    <w:rsid w:val="00E2729B"/>
    <w:rsid w:val="00E449A2"/>
    <w:rsid w:val="00E5453A"/>
    <w:rsid w:val="00E71372"/>
    <w:rsid w:val="00E74E1C"/>
    <w:rsid w:val="00E7600F"/>
    <w:rsid w:val="00E80FEF"/>
    <w:rsid w:val="00E82EF5"/>
    <w:rsid w:val="00E846BD"/>
    <w:rsid w:val="00E86BE9"/>
    <w:rsid w:val="00EA2126"/>
    <w:rsid w:val="00EA3B19"/>
    <w:rsid w:val="00EA59AD"/>
    <w:rsid w:val="00EB17D4"/>
    <w:rsid w:val="00EC0994"/>
    <w:rsid w:val="00ED3693"/>
    <w:rsid w:val="00EF25D8"/>
    <w:rsid w:val="00EF58E8"/>
    <w:rsid w:val="00F10E72"/>
    <w:rsid w:val="00F33976"/>
    <w:rsid w:val="00F459F7"/>
    <w:rsid w:val="00F512DA"/>
    <w:rsid w:val="00F524E6"/>
    <w:rsid w:val="00F75780"/>
    <w:rsid w:val="00F8294B"/>
    <w:rsid w:val="00F96262"/>
    <w:rsid w:val="00FB7310"/>
    <w:rsid w:val="00FC0107"/>
    <w:rsid w:val="00FC2AFD"/>
    <w:rsid w:val="00FE5E9D"/>
    <w:rsid w:val="00FF4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3AE89"/>
  <w15:docId w15:val="{7BF57469-7F36-462B-AD21-52576D9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528D5"/>
    <w:pPr>
      <w:keepNext/>
      <w:keepLines/>
      <w:numPr>
        <w:numId w:val="5"/>
      </w:numPr>
      <w:tabs>
        <w:tab w:val="center" w:pos="4139"/>
      </w:tabs>
      <w:spacing w:before="280" w:after="140" w:line="288" w:lineRule="auto"/>
      <w:ind w:left="432"/>
      <w:outlineLvl w:val="0"/>
    </w:pPr>
    <w:rPr>
      <w:rFonts w:asciiTheme="majorHAnsi" w:eastAsia="Times New Roman" w:hAnsiTheme="majorHAnsi" w:cs="Arial"/>
      <w:b/>
      <w:bCs/>
      <w:kern w:val="32"/>
      <w:sz w:val="36"/>
      <w:szCs w:val="32"/>
      <w:lang w:eastAsia="de-DE"/>
    </w:rPr>
  </w:style>
  <w:style w:type="paragraph" w:styleId="berschrift2">
    <w:name w:val="heading 2"/>
    <w:basedOn w:val="berschrift1"/>
    <w:next w:val="Standard"/>
    <w:link w:val="berschrift2Zchn"/>
    <w:qFormat/>
    <w:rsid w:val="005528D5"/>
    <w:pPr>
      <w:numPr>
        <w:ilvl w:val="1"/>
      </w:numPr>
      <w:tabs>
        <w:tab w:val="clear" w:pos="4139"/>
      </w:tabs>
      <w:spacing w:before="420" w:after="0"/>
      <w:outlineLvl w:val="1"/>
    </w:pPr>
    <w:rPr>
      <w:bCs w:val="0"/>
      <w:iCs/>
      <w:sz w:val="28"/>
      <w:szCs w:val="28"/>
    </w:rPr>
  </w:style>
  <w:style w:type="paragraph" w:styleId="berschrift3">
    <w:name w:val="heading 3"/>
    <w:basedOn w:val="berschrift1"/>
    <w:next w:val="Standard"/>
    <w:link w:val="berschrift3Zchn"/>
    <w:qFormat/>
    <w:rsid w:val="00B44A5B"/>
    <w:pPr>
      <w:numPr>
        <w:ilvl w:val="2"/>
      </w:numPr>
      <w:tabs>
        <w:tab w:val="clear" w:pos="4139"/>
      </w:tabs>
      <w:spacing w:before="420" w:after="0"/>
      <w:outlineLvl w:val="2"/>
    </w:pPr>
    <w:rPr>
      <w:bCs w:val="0"/>
      <w:sz w:val="24"/>
      <w:szCs w:val="26"/>
    </w:rPr>
  </w:style>
  <w:style w:type="paragraph" w:styleId="berschrift4">
    <w:name w:val="heading 4"/>
    <w:basedOn w:val="berschrift1"/>
    <w:next w:val="Standard"/>
    <w:link w:val="berschrift4Zchn"/>
    <w:qFormat/>
    <w:rsid w:val="00C856AD"/>
    <w:pPr>
      <w:numPr>
        <w:ilvl w:val="3"/>
      </w:numPr>
      <w:tabs>
        <w:tab w:val="clear" w:pos="4139"/>
      </w:tabs>
      <w:spacing w:after="0"/>
      <w:outlineLvl w:val="3"/>
    </w:pPr>
    <w:rPr>
      <w:b w:val="0"/>
      <w:bCs w:val="0"/>
      <w:sz w:val="20"/>
      <w:szCs w:val="28"/>
    </w:rPr>
  </w:style>
  <w:style w:type="paragraph" w:styleId="berschrift5">
    <w:name w:val="heading 5"/>
    <w:basedOn w:val="berschrift1"/>
    <w:next w:val="Standard"/>
    <w:link w:val="berschrift5Zchn"/>
    <w:qFormat/>
    <w:rsid w:val="00C856AD"/>
    <w:pPr>
      <w:numPr>
        <w:ilvl w:val="4"/>
      </w:numPr>
      <w:tabs>
        <w:tab w:val="clear" w:pos="4139"/>
      </w:tabs>
      <w:spacing w:after="0"/>
      <w:outlineLvl w:val="4"/>
    </w:pPr>
    <w:rPr>
      <w:b w:val="0"/>
      <w:bCs w:val="0"/>
      <w:iCs/>
      <w:sz w:val="20"/>
      <w:szCs w:val="26"/>
    </w:rPr>
  </w:style>
  <w:style w:type="paragraph" w:styleId="berschrift6">
    <w:name w:val="heading 6"/>
    <w:basedOn w:val="berschrift1"/>
    <w:next w:val="Standard"/>
    <w:link w:val="berschrift6Zchn"/>
    <w:qFormat/>
    <w:rsid w:val="00C856AD"/>
    <w:pPr>
      <w:numPr>
        <w:ilvl w:val="5"/>
      </w:numPr>
      <w:tabs>
        <w:tab w:val="clear" w:pos="4139"/>
      </w:tabs>
      <w:spacing w:after="0"/>
      <w:outlineLvl w:val="5"/>
    </w:pPr>
    <w:rPr>
      <w:b w:val="0"/>
      <w:bCs w:val="0"/>
      <w:sz w:val="20"/>
      <w:szCs w:val="22"/>
    </w:rPr>
  </w:style>
  <w:style w:type="paragraph" w:styleId="berschrift7">
    <w:name w:val="heading 7"/>
    <w:basedOn w:val="berschrift1"/>
    <w:next w:val="Standard"/>
    <w:link w:val="berschrift7Zchn"/>
    <w:qFormat/>
    <w:rsid w:val="00C856AD"/>
    <w:pPr>
      <w:numPr>
        <w:ilvl w:val="6"/>
      </w:numPr>
      <w:tabs>
        <w:tab w:val="clear" w:pos="4139"/>
      </w:tabs>
      <w:spacing w:after="0"/>
      <w:outlineLvl w:val="6"/>
    </w:pPr>
    <w:rPr>
      <w:b w:val="0"/>
      <w:sz w:val="20"/>
    </w:rPr>
  </w:style>
  <w:style w:type="paragraph" w:styleId="berschrift8">
    <w:name w:val="heading 8"/>
    <w:basedOn w:val="berschrift1"/>
    <w:next w:val="Standard"/>
    <w:link w:val="berschrift8Zchn"/>
    <w:qFormat/>
    <w:rsid w:val="00C856AD"/>
    <w:pPr>
      <w:numPr>
        <w:ilvl w:val="7"/>
      </w:numPr>
      <w:tabs>
        <w:tab w:val="clear" w:pos="4139"/>
      </w:tabs>
      <w:spacing w:after="0"/>
      <w:outlineLvl w:val="7"/>
    </w:pPr>
    <w:rPr>
      <w:b w:val="0"/>
      <w:iCs/>
      <w:sz w:val="20"/>
    </w:rPr>
  </w:style>
  <w:style w:type="paragraph" w:styleId="berschrift9">
    <w:name w:val="heading 9"/>
    <w:basedOn w:val="berschrift1"/>
    <w:next w:val="Standard"/>
    <w:link w:val="berschrift9Zchn"/>
    <w:qFormat/>
    <w:rsid w:val="00C856AD"/>
    <w:pPr>
      <w:numPr>
        <w:ilvl w:val="8"/>
      </w:numPr>
      <w:tabs>
        <w:tab w:val="clear" w:pos="4139"/>
      </w:tabs>
      <w:spacing w:after="0"/>
      <w:outlineLvl w:val="8"/>
    </w:pPr>
    <w:rPr>
      <w:b w:val="0"/>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896"/>
    <w:pPr>
      <w:ind w:left="720"/>
      <w:contextualSpacing/>
    </w:pPr>
  </w:style>
  <w:style w:type="paragraph" w:styleId="Kopfzeile">
    <w:name w:val="header"/>
    <w:basedOn w:val="Standard"/>
    <w:link w:val="KopfzeileZchn"/>
    <w:uiPriority w:val="99"/>
    <w:unhideWhenUsed/>
    <w:rsid w:val="00B10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1C"/>
  </w:style>
  <w:style w:type="paragraph" w:styleId="Fuzeile">
    <w:name w:val="footer"/>
    <w:basedOn w:val="Standard"/>
    <w:link w:val="FuzeileZchn"/>
    <w:uiPriority w:val="99"/>
    <w:unhideWhenUsed/>
    <w:rsid w:val="00B10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1C"/>
  </w:style>
  <w:style w:type="paragraph" w:styleId="Sprechblasentext">
    <w:name w:val="Balloon Text"/>
    <w:basedOn w:val="Standard"/>
    <w:link w:val="SprechblasentextZchn"/>
    <w:uiPriority w:val="99"/>
    <w:semiHidden/>
    <w:unhideWhenUsed/>
    <w:rsid w:val="008F3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429"/>
    <w:rPr>
      <w:rFonts w:ascii="Tahoma" w:hAnsi="Tahoma" w:cs="Tahoma"/>
      <w:sz w:val="16"/>
      <w:szCs w:val="16"/>
    </w:rPr>
  </w:style>
  <w:style w:type="table" w:styleId="Tabellenraster">
    <w:name w:val="Table Grid"/>
    <w:basedOn w:val="NormaleTabelle"/>
    <w:uiPriority w:val="59"/>
    <w:rsid w:val="00027DB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528D5"/>
    <w:rPr>
      <w:rFonts w:asciiTheme="majorHAnsi" w:eastAsia="Times New Roman" w:hAnsiTheme="majorHAnsi" w:cs="Arial"/>
      <w:b/>
      <w:bCs/>
      <w:kern w:val="32"/>
      <w:sz w:val="36"/>
      <w:szCs w:val="32"/>
      <w:lang w:eastAsia="de-DE"/>
    </w:rPr>
  </w:style>
  <w:style w:type="character" w:customStyle="1" w:styleId="berschrift2Zchn">
    <w:name w:val="Überschrift 2 Zchn"/>
    <w:basedOn w:val="Absatz-Standardschriftart"/>
    <w:link w:val="berschrift2"/>
    <w:rsid w:val="005528D5"/>
    <w:rPr>
      <w:rFonts w:asciiTheme="majorHAnsi" w:eastAsia="Times New Roman" w:hAnsiTheme="majorHAnsi" w:cs="Arial"/>
      <w:b/>
      <w:iCs/>
      <w:kern w:val="32"/>
      <w:sz w:val="28"/>
      <w:szCs w:val="28"/>
      <w:lang w:eastAsia="de-DE"/>
    </w:rPr>
  </w:style>
  <w:style w:type="character" w:customStyle="1" w:styleId="berschrift3Zchn">
    <w:name w:val="Überschrift 3 Zchn"/>
    <w:basedOn w:val="Absatz-Standardschriftart"/>
    <w:link w:val="berschrift3"/>
    <w:rsid w:val="00B44A5B"/>
    <w:rPr>
      <w:rFonts w:eastAsia="Times New Roman" w:cs="Arial"/>
      <w:b/>
      <w:kern w:val="32"/>
      <w:sz w:val="24"/>
      <w:szCs w:val="26"/>
      <w:lang w:eastAsia="de-DE"/>
    </w:rPr>
  </w:style>
  <w:style w:type="character" w:customStyle="1" w:styleId="berschrift4Zchn">
    <w:name w:val="Überschrift 4 Zchn"/>
    <w:basedOn w:val="Absatz-Standardschriftart"/>
    <w:link w:val="berschrift4"/>
    <w:rsid w:val="00C856AD"/>
    <w:rPr>
      <w:rFonts w:ascii="Verdana" w:eastAsia="Times New Roman" w:hAnsi="Verdana" w:cs="Arial"/>
      <w:b/>
      <w:kern w:val="32"/>
      <w:sz w:val="20"/>
      <w:szCs w:val="28"/>
      <w:lang w:eastAsia="de-DE"/>
    </w:rPr>
  </w:style>
  <w:style w:type="character" w:customStyle="1" w:styleId="berschrift5Zchn">
    <w:name w:val="Überschrift 5 Zchn"/>
    <w:basedOn w:val="Absatz-Standardschriftart"/>
    <w:link w:val="berschrift5"/>
    <w:rsid w:val="00C856AD"/>
    <w:rPr>
      <w:rFonts w:ascii="Verdana" w:eastAsia="Times New Roman" w:hAnsi="Verdana" w:cs="Arial"/>
      <w:b/>
      <w:iCs/>
      <w:kern w:val="32"/>
      <w:sz w:val="20"/>
      <w:szCs w:val="26"/>
      <w:lang w:eastAsia="de-DE"/>
    </w:rPr>
  </w:style>
  <w:style w:type="character" w:customStyle="1" w:styleId="berschrift6Zchn">
    <w:name w:val="Überschrift 6 Zchn"/>
    <w:basedOn w:val="Absatz-Standardschriftart"/>
    <w:link w:val="berschrift6"/>
    <w:rsid w:val="00C856AD"/>
    <w:rPr>
      <w:rFonts w:ascii="Verdana" w:eastAsia="Times New Roman" w:hAnsi="Verdana" w:cs="Arial"/>
      <w:b/>
      <w:kern w:val="32"/>
      <w:sz w:val="20"/>
      <w:lang w:eastAsia="de-DE"/>
    </w:rPr>
  </w:style>
  <w:style w:type="character" w:customStyle="1" w:styleId="berschrift7Zchn">
    <w:name w:val="Überschrift 7 Zchn"/>
    <w:basedOn w:val="Absatz-Standardschriftart"/>
    <w:link w:val="berschrift7"/>
    <w:rsid w:val="00C856AD"/>
    <w:rPr>
      <w:rFonts w:ascii="Verdana" w:eastAsia="Times New Roman" w:hAnsi="Verdana" w:cs="Arial"/>
      <w:b/>
      <w:bCs/>
      <w:kern w:val="32"/>
      <w:sz w:val="20"/>
      <w:szCs w:val="32"/>
      <w:lang w:eastAsia="de-DE"/>
    </w:rPr>
  </w:style>
  <w:style w:type="character" w:customStyle="1" w:styleId="berschrift8Zchn">
    <w:name w:val="Überschrift 8 Zchn"/>
    <w:basedOn w:val="Absatz-Standardschriftart"/>
    <w:link w:val="berschrift8"/>
    <w:rsid w:val="00C856AD"/>
    <w:rPr>
      <w:rFonts w:ascii="Verdana" w:eastAsia="Times New Roman" w:hAnsi="Verdana" w:cs="Arial"/>
      <w:b/>
      <w:bCs/>
      <w:iCs/>
      <w:kern w:val="32"/>
      <w:sz w:val="20"/>
      <w:szCs w:val="32"/>
      <w:lang w:eastAsia="de-DE"/>
    </w:rPr>
  </w:style>
  <w:style w:type="character" w:customStyle="1" w:styleId="berschrift9Zchn">
    <w:name w:val="Überschrift 9 Zchn"/>
    <w:basedOn w:val="Absatz-Standardschriftart"/>
    <w:link w:val="berschrift9"/>
    <w:rsid w:val="00C856AD"/>
    <w:rPr>
      <w:rFonts w:ascii="Verdana" w:eastAsia="Times New Roman" w:hAnsi="Verdana" w:cs="Arial"/>
      <w:b/>
      <w:bCs/>
      <w:kern w:val="32"/>
      <w:sz w:val="20"/>
      <w:lang w:eastAsia="de-DE"/>
    </w:rPr>
  </w:style>
  <w:style w:type="paragraph" w:styleId="Inhaltsverzeichnisberschrift">
    <w:name w:val="TOC Heading"/>
    <w:basedOn w:val="berschrift1"/>
    <w:next w:val="Standard"/>
    <w:uiPriority w:val="39"/>
    <w:unhideWhenUsed/>
    <w:qFormat/>
    <w:rsid w:val="009A38BB"/>
    <w:pPr>
      <w:numPr>
        <w:numId w:val="0"/>
      </w:numPr>
      <w:tabs>
        <w:tab w:val="clear" w:pos="4139"/>
      </w:tabs>
      <w:spacing w:before="240" w:after="0" w:line="259" w:lineRule="auto"/>
      <w:outlineLvl w:val="9"/>
    </w:pPr>
    <w:rPr>
      <w:rFonts w:eastAsiaTheme="majorEastAsia"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9A38BB"/>
    <w:pPr>
      <w:spacing w:after="100"/>
    </w:pPr>
  </w:style>
  <w:style w:type="paragraph" w:styleId="Verzeichnis2">
    <w:name w:val="toc 2"/>
    <w:basedOn w:val="Standard"/>
    <w:next w:val="Standard"/>
    <w:autoRedefine/>
    <w:uiPriority w:val="39"/>
    <w:unhideWhenUsed/>
    <w:rsid w:val="009A38BB"/>
    <w:pPr>
      <w:spacing w:after="100"/>
      <w:ind w:left="220"/>
    </w:pPr>
  </w:style>
  <w:style w:type="character" w:styleId="Hyperlink">
    <w:name w:val="Hyperlink"/>
    <w:basedOn w:val="Absatz-Standardschriftart"/>
    <w:uiPriority w:val="99"/>
    <w:unhideWhenUsed/>
    <w:rsid w:val="009A38BB"/>
    <w:rPr>
      <w:color w:val="0000FF" w:themeColor="hyperlink"/>
      <w:u w:val="single"/>
    </w:rPr>
  </w:style>
  <w:style w:type="character" w:customStyle="1" w:styleId="NichtaufgelsteErwhnung1">
    <w:name w:val="Nicht aufgelöste Erwähnung1"/>
    <w:basedOn w:val="Absatz-Standardschriftart"/>
    <w:uiPriority w:val="99"/>
    <w:semiHidden/>
    <w:unhideWhenUsed/>
    <w:rsid w:val="005528D5"/>
    <w:rPr>
      <w:color w:val="605E5C"/>
      <w:shd w:val="clear" w:color="auto" w:fill="E1DFDD"/>
    </w:rPr>
  </w:style>
  <w:style w:type="paragraph" w:customStyle="1" w:styleId="Default">
    <w:name w:val="Default"/>
    <w:rsid w:val="002C661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2C2153"/>
    <w:rPr>
      <w:sz w:val="16"/>
      <w:szCs w:val="16"/>
    </w:rPr>
  </w:style>
  <w:style w:type="paragraph" w:styleId="Kommentartext">
    <w:name w:val="annotation text"/>
    <w:basedOn w:val="Standard"/>
    <w:link w:val="KommentartextZchn"/>
    <w:uiPriority w:val="99"/>
    <w:semiHidden/>
    <w:unhideWhenUsed/>
    <w:rsid w:val="002C21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2153"/>
    <w:rPr>
      <w:sz w:val="20"/>
      <w:szCs w:val="20"/>
    </w:rPr>
  </w:style>
  <w:style w:type="paragraph" w:styleId="Kommentarthema">
    <w:name w:val="annotation subject"/>
    <w:basedOn w:val="Kommentartext"/>
    <w:next w:val="Kommentartext"/>
    <w:link w:val="KommentarthemaZchn"/>
    <w:uiPriority w:val="99"/>
    <w:semiHidden/>
    <w:unhideWhenUsed/>
    <w:rsid w:val="002C2153"/>
    <w:rPr>
      <w:b/>
      <w:bCs/>
    </w:rPr>
  </w:style>
  <w:style w:type="character" w:customStyle="1" w:styleId="KommentarthemaZchn">
    <w:name w:val="Kommentarthema Zchn"/>
    <w:basedOn w:val="KommentartextZchn"/>
    <w:link w:val="Kommentarthema"/>
    <w:uiPriority w:val="99"/>
    <w:semiHidden/>
    <w:rsid w:val="002C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c2a6a2-3332-4aa4-8045-ad745578d1ee">
      <Terms xmlns="http://schemas.microsoft.com/office/infopath/2007/PartnerControls"/>
    </lcf76f155ced4ddcb4097134ff3c332f>
    <TaxCatchAll xmlns="2994cc9d-d6cc-4d80-95f4-e6ebe69b330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25903725D3A434491FFC482F4D0946E" ma:contentTypeVersion="11" ma:contentTypeDescription="Ein neues Dokument erstellen." ma:contentTypeScope="" ma:versionID="de422e2a686814834b7de70f1b8e2139">
  <xsd:schema xmlns:xsd="http://www.w3.org/2001/XMLSchema" xmlns:xs="http://www.w3.org/2001/XMLSchema" xmlns:p="http://schemas.microsoft.com/office/2006/metadata/properties" xmlns:ns2="1cc2a6a2-3332-4aa4-8045-ad745578d1ee" xmlns:ns3="2994cc9d-d6cc-4d80-95f4-e6ebe69b3302" targetNamespace="http://schemas.microsoft.com/office/2006/metadata/properties" ma:root="true" ma:fieldsID="2b5e737153a8c52cf63e9decd951656e" ns2:_="" ns3:_="">
    <xsd:import namespace="1cc2a6a2-3332-4aa4-8045-ad745578d1ee"/>
    <xsd:import namespace="2994cc9d-d6cc-4d80-95f4-e6ebe69b33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2a6a2-3332-4aa4-8045-ad745578d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b829669-ff1e-49a8-8851-f0694c06a3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4cc9d-d6cc-4d80-95f4-e6ebe69b33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0b4e4f-355a-40a2-ba28-29388c1ddace}" ma:internalName="TaxCatchAll" ma:showField="CatchAllData" ma:web="2994cc9d-d6cc-4d80-95f4-e6ebe69b3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EFC7F-369E-4D51-A825-1381DB85A422}">
  <ds:schemaRefs>
    <ds:schemaRef ds:uri="http://schemas.microsoft.com/office/2006/metadata/properties"/>
    <ds:schemaRef ds:uri="http://schemas.microsoft.com/office/2006/documentManagement/types"/>
    <ds:schemaRef ds:uri="1cc2a6a2-3332-4aa4-8045-ad745578d1ee"/>
    <ds:schemaRef ds:uri="http://www.w3.org/XML/1998/namespace"/>
    <ds:schemaRef ds:uri="http://purl.org/dc/dcmitype/"/>
    <ds:schemaRef ds:uri="2994cc9d-d6cc-4d80-95f4-e6ebe69b3302"/>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1674BD8-5DFC-4ADA-BA4B-05408EF43DD7}">
  <ds:schemaRefs>
    <ds:schemaRef ds:uri="http://schemas.openxmlformats.org/officeDocument/2006/bibliography"/>
  </ds:schemaRefs>
</ds:datastoreItem>
</file>

<file path=customXml/itemProps3.xml><?xml version="1.0" encoding="utf-8"?>
<ds:datastoreItem xmlns:ds="http://schemas.openxmlformats.org/officeDocument/2006/customXml" ds:itemID="{11E9C392-E2DE-45B6-BC43-EDC17AED7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2a6a2-3332-4aa4-8045-ad745578d1ee"/>
    <ds:schemaRef ds:uri="2994cc9d-d6cc-4d80-95f4-e6ebe69b3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1A01F-D013-47B5-A5B4-D873A85B0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3868</Words>
  <Characters>24370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Ohlmeyer</dc:creator>
  <cp:lastModifiedBy>Cédric Ohlmeyer</cp:lastModifiedBy>
  <cp:revision>19</cp:revision>
  <cp:lastPrinted>2024-02-09T15:51:00Z</cp:lastPrinted>
  <dcterms:created xsi:type="dcterms:W3CDTF">2021-06-24T07:28:00Z</dcterms:created>
  <dcterms:modified xsi:type="dcterms:W3CDTF">2024-02-09T15:51:00Z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0x010100825903725D3A434491FFC482F4D0946E</vt:lpwstr>
  </property>
  <property fmtid="{D5CDD505-2E9C-101B-9397-08002B2CF9AE}" pid="3" name="MediaServiceImageTags">
    <vt:lpwstr/>
  </property>
</Properties>
</file>